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jc w:val="center"/>
      </w:pPr>
      <w:r>
        <w:rPr>
          <w:b/>
          <w:color w:val="1F4E78"/>
          <w:sz w:val="32"/>
        </w:rPr>
        <w:t>SESIÓN DE APRENDIZAJE N° 1</w:t>
      </w:r>
    </w:p>
    <w:p>
      <w:pPr>
        <w:spacing w:after="360"/>
        <w:jc w:val="center"/>
      </w:pPr>
      <w:r>
        <w:rPr>
          <w:b/>
          <w:color w:val="595959"/>
          <w:sz w:val="26"/>
        </w:rPr>
        <w:t>Construyendo nuestro futuro financiero: La importancia del ahorro previsional</w:t>
      </w:r>
    </w:p>
    <w:p>
      <w:pPr>
        <w:keepNext/>
        <w:spacing w:before="280" w:after="120"/>
      </w:pPr>
      <w:r>
        <w:rPr>
          <w:b/>
          <w:color w:val="1F4E78"/>
          <w:sz w:val="26"/>
        </w:rPr>
        <w:t>I. DATOS INFORMATIVOS</w:t>
      </w:r>
    </w:p>
    <w:p>
      <w:pPr>
        <w:pStyle w:val="ListBullet"/>
        <w:spacing w:after="80"/>
      </w:pPr>
      <w:r>
        <w:rPr>
          <w:b/>
        </w:rPr>
        <w:t xml:space="preserve">Área Curricular: </w:t>
      </w:r>
      <w:r>
        <w:t>Ciencias Sociales</w:t>
      </w:r>
    </w:p>
    <w:p>
      <w:pPr>
        <w:pStyle w:val="ListBullet"/>
        <w:spacing w:after="80"/>
      </w:pPr>
      <w:r>
        <w:rPr>
          <w:b/>
        </w:rPr>
        <w:t xml:space="preserve">Grado y Sección: </w:t>
      </w:r>
      <w:r>
        <w:t>4.° de Secundaria</w:t>
      </w:r>
    </w:p>
    <w:p>
      <w:pPr>
        <w:pStyle w:val="ListBullet"/>
        <w:spacing w:after="80"/>
      </w:pPr>
      <w:r>
        <w:rPr>
          <w:b/>
        </w:rPr>
        <w:t xml:space="preserve">Duración: </w:t>
      </w:r>
      <w:r>
        <w:t>135 minutos</w:t>
      </w:r>
    </w:p>
    <w:p>
      <w:pPr>
        <w:keepNext/>
        <w:spacing w:before="280" w:after="120"/>
      </w:pPr>
      <w:r>
        <w:rPr>
          <w:b/>
          <w:color w:val="1F4E78"/>
          <w:sz w:val="26"/>
        </w:rPr>
        <w:t>II. PROPÓSITOS Y EVIDENCIAS DE APRENDIZAJE</w:t>
      </w:r>
    </w:p>
    <w:tbl>
      <w:tblPr>
        <w:tblW w:type="auto" w:w="0"/>
        <w:jc w:val="center"/>
        <w:tblLook w:firstColumn="1" w:firstRow="1" w:lastColumn="0" w:lastRow="0" w:noHBand="0" w:noVBand="1" w:val="04A0"/>
        <w:tblBorders>
          <w:top w:val="single" w:sz="4" w:space="0" w:color="CCCCCC"/>
          <w:bottom w:val="single" w:sz="4" w:space="0" w:color="CCCCCC"/>
          <w:insideH w:val="single" w:sz="4" w:space="0" w:color="CCCCCC"/>
          <w:left w:val="none"/>
          <w:right w:val="none"/>
          <w:insideV w:val="none"/>
        </w:tblBorders>
      </w:tblPr>
      <w:tblGrid>
        <w:gridCol w:w="4680"/>
        <w:gridCol w:w="4680"/>
      </w:tblGrid>
      <w:tr>
        <w:tc>
          <w:tcPr>
            <w:tcW w:type="dxa" w:w="4680"/>
            <w:shd w:fill="1F4E78"/>
            <w:tcMar>
              <w:top w:w="140" w:type="dxa"/>
              <w:bottom w:w="140" w:type="dxa"/>
              <w:left w:w="150" w:type="dxa"/>
              <w:right w:w="150" w:type="dxa"/>
            </w:tcMar>
          </w:tcPr>
          <w:p>
            <w:pPr>
              <w:jc w:val="left"/>
            </w:pPr>
            <w:r>
              <w:rPr>
                <w:b/>
                <w:color w:val="FFFFFF"/>
              </w:rPr>
              <w:t>Elemento Curricular (CNEB / DUA)</w:t>
            </w:r>
          </w:p>
        </w:tc>
        <w:tc>
          <w:tcPr>
            <w:tcW w:type="dxa" w:w="4680"/>
            <w:shd w:fill="1F4E78"/>
            <w:tcMar>
              <w:top w:w="140" w:type="dxa"/>
              <w:bottom w:w="140" w:type="dxa"/>
              <w:left w:w="150" w:type="dxa"/>
              <w:right w:w="150" w:type="dxa"/>
            </w:tcMar>
          </w:tcPr>
          <w:p>
            <w:pPr>
              <w:jc w:val="left"/>
            </w:pPr>
            <w:r>
              <w:rPr>
                <w:b/>
                <w:color w:val="FFFFFF"/>
              </w:rPr>
              <w:t>Detalle y Especificaciones</w:t>
            </w:r>
          </w:p>
        </w:tc>
      </w:tr>
      <w:tr>
        <w:tc>
          <w:tcPr>
            <w:tcW w:type="dxa" w:w="4680"/>
            <w:tcMar>
              <w:top w:w="100" w:type="dxa"/>
              <w:bottom w:w="100" w:type="dxa"/>
              <w:left w:w="150" w:type="dxa"/>
              <w:right w:w="150" w:type="dxa"/>
            </w:tcMar>
          </w:tcPr>
          <w:p>
            <w:r>
              <w:rPr>
                <w:b/>
              </w:rPr>
              <w:t>Competencia &amp; Capacidades</w:t>
            </w:r>
          </w:p>
        </w:tc>
        <w:tc>
          <w:tcPr>
            <w:tcW w:type="dxa" w:w="4680"/>
            <w:tcMar>
              <w:top w:w="100" w:type="dxa"/>
              <w:bottom w:w="100" w:type="dxa"/>
              <w:left w:w="150" w:type="dxa"/>
              <w:right w:w="150" w:type="dxa"/>
            </w:tcMar>
          </w:tcPr>
          <w:p>
            <w:r>
              <w:t>Gestiona responsablemente los recursos económicos.</w:t>
              <w:br/>
              <w:t>• Comprende las relaciones entre los elementos del sistema económico y financiero.</w:t>
              <w:br/>
              <w:t>• Toma decisiones económicas y financieras.</w:t>
            </w:r>
          </w:p>
        </w:tc>
      </w:tr>
      <w:tr>
        <w:tc>
          <w:tcPr>
            <w:tcW w:type="dxa" w:w="4680"/>
            <w:tcMar>
              <w:top w:w="100" w:type="dxa"/>
              <w:bottom w:w="100" w:type="dxa"/>
              <w:left w:w="150" w:type="dxa"/>
              <w:right w:w="150" w:type="dxa"/>
            </w:tcMar>
            <w:shd w:fill="F2F2F2"/>
          </w:tcPr>
          <w:p>
            <w:r>
              <w:rPr>
                <w:b/>
              </w:rPr>
              <w:t>Desempeño Precisado</w:t>
            </w:r>
          </w:p>
        </w:tc>
        <w:tc>
          <w:tcPr>
            <w:tcW w:type="dxa" w:w="4680"/>
            <w:tcMar>
              <w:top w:w="100" w:type="dxa"/>
              <w:bottom w:w="100" w:type="dxa"/>
              <w:left w:w="150" w:type="dxa"/>
              <w:right w:w="150" w:type="dxa"/>
            </w:tcMar>
            <w:shd w:fill="F2F2F2"/>
          </w:tcPr>
          <w:p>
            <w:r>
              <w:t>Explica la importancia del ahorro previsional (AFP y ONP) en el sistema financiero y cómo las decisiones del Estado y la formalidad laboral impactan en la seguridad social de las familias a largo plazo.</w:t>
            </w:r>
          </w:p>
        </w:tc>
      </w:tr>
      <w:tr>
        <w:tc>
          <w:tcPr>
            <w:tcW w:type="dxa" w:w="4680"/>
            <w:tcMar>
              <w:top w:w="100" w:type="dxa"/>
              <w:bottom w:w="100" w:type="dxa"/>
              <w:left w:w="150" w:type="dxa"/>
              <w:right w:w="150" w:type="dxa"/>
            </w:tcMar>
          </w:tcPr>
          <w:p>
            <w:r>
              <w:rPr>
                <w:b/>
              </w:rPr>
              <w:t>Criterios de Evaluación</w:t>
              <w:br/>
              <w:t>(Enfoque DUA)</w:t>
            </w:r>
          </w:p>
        </w:tc>
        <w:tc>
          <w:tcPr>
            <w:tcW w:type="dxa" w:w="4680"/>
            <w:tcMar>
              <w:top w:w="100" w:type="dxa"/>
              <w:bottom w:w="100" w:type="dxa"/>
              <w:left w:w="150" w:type="dxa"/>
              <w:right w:w="150" w:type="dxa"/>
            </w:tcMar>
          </w:tcPr>
          <w:p>
            <w:r>
              <w:t>• Diferencia el funcionamiento del sistema privado (AFP) y público (ONP) utilizando múltiples canales (textual, visual o verbal).</w:t>
              <w:br/>
              <w:t>• Explica los riesgos de la informalidad en la vejez.</w:t>
              <w:br/>
              <w:t>• Propone alternativas de presupuesto previsional fundamentando sus decisiones económicas de manera clara.</w:t>
            </w:r>
          </w:p>
        </w:tc>
      </w:tr>
      <w:tr>
        <w:tc>
          <w:tcPr>
            <w:tcW w:type="dxa" w:w="4680"/>
            <w:tcMar>
              <w:top w:w="100" w:type="dxa"/>
              <w:bottom w:w="100" w:type="dxa"/>
              <w:left w:w="150" w:type="dxa"/>
              <w:right w:w="150" w:type="dxa"/>
            </w:tcMar>
            <w:shd w:fill="F2F2F2"/>
          </w:tcPr>
          <w:p>
            <w:r>
              <w:rPr>
                <w:b/>
              </w:rPr>
              <w:t>Evidencia de Aprendizaje</w:t>
            </w:r>
          </w:p>
        </w:tc>
        <w:tc>
          <w:tcPr>
            <w:tcW w:type="dxa" w:w="4680"/>
            <w:tcMar>
              <w:top w:w="100" w:type="dxa"/>
              <w:bottom w:w="100" w:type="dxa"/>
              <w:left w:w="150" w:type="dxa"/>
              <w:right w:w="150" w:type="dxa"/>
            </w:tcMar>
            <w:shd w:fill="F2F2F2"/>
          </w:tcPr>
          <w:p>
            <w:r>
              <w:t>Esquema Comparativo y Presupuesto Previsional Familiar (Opciones DUA: Puede ser presentado mediante un organizador visual, un portafolio escrito o una breve simulación oral).</w:t>
            </w:r>
          </w:p>
        </w:tc>
      </w:tr>
    </w:tbl>
    <w:p>
      <w:pPr>
        <w:spacing w:before="200"/>
      </w:pPr>
      <w:r>
        <w:rPr>
          <w:b/>
        </w:rPr>
        <w:t xml:space="preserve">Enfoque Transversal Búsqueda de la Excelencia: </w:t>
      </w:r>
      <w:r>
        <w:t>Los estudiantes demuestran flexibilidad para comprender variables económicas futuras y planificar estrategias que mejoren su calidad de vida.</w:t>
      </w:r>
    </w:p>
    <w:p>
      <w:pPr>
        <w:keepNext/>
        <w:spacing w:before="280" w:after="120"/>
      </w:pPr>
      <w:r>
        <w:rPr>
          <w:b/>
          <w:color w:val="1F4E78"/>
          <w:sz w:val="26"/>
        </w:rPr>
        <w:t>III. MOMENTOS DE LA SESIÓN</w:t>
      </w:r>
    </w:p>
    <w:p>
      <w:pPr>
        <w:keepNext/>
        <w:spacing w:before="200" w:after="80"/>
      </w:pPr>
      <w:r>
        <w:rPr>
          <w:b/>
          <w:color w:val="2E74B5"/>
          <w:sz w:val="23"/>
        </w:rPr>
        <w:t>1. PAUSA ACTIVA INICIAL (10 minutos)</w:t>
      </w:r>
    </w:p>
    <w:p>
      <w:pPr>
        <w:spacing w:after="120"/>
      </w:pPr>
      <w:r>
        <w:rPr>
          <w:b/>
        </w:rPr>
        <w:t xml:space="preserve">Dinámica "Gimnasia Cerebral y Coordinación": </w:t>
      </w:r>
      <w:r>
        <w:t>El docente guía a los estudiantes en ejercicios corporales cruzados (tocar la oreja derecha con la mano izquierda y viceversa) acompañados de respiración rítmica.</w:t>
        <w:br/>
      </w:r>
      <w:r>
        <w:rPr>
          <w:b/>
          <w:i/>
        </w:rPr>
        <w:t xml:space="preserve">Sustento DUA: </w:t>
      </w:r>
      <w:r>
        <w:t>Reduce la fatiga cognitiva, capta la atención plena y activa las redes neuronales de los estudiantes antes de comenzar el trabajo académico formal.</w:t>
      </w:r>
    </w:p>
    <w:p>
      <w:pPr>
        <w:keepNext/>
        <w:spacing w:before="200" w:after="80"/>
      </w:pPr>
      <w:r>
        <w:rPr>
          <w:b/>
          <w:color w:val="2E74B5"/>
          <w:sz w:val="23"/>
        </w:rPr>
        <w:t>2. INICIO (25 minutos)</w:t>
      </w:r>
    </w:p>
    <w:p>
      <w:pPr>
        <w:pStyle w:val="ListBullet"/>
        <w:spacing w:after="80"/>
      </w:pPr>
      <w:r>
        <w:rPr>
          <w:b/>
        </w:rPr>
        <w:t xml:space="preserve">Motivación y Saberes Previos (10 min): </w:t>
      </w:r>
      <w:r>
        <w:t>El docente proyecta una imagen o lee un caso corto sobre un adulto mayor que debe trabajar en la calle por no tener una jubilación segura. Se pregunta al pleno de forma abierta: ¿Por qué muchas personas en el Perú llegan a la vejez sin un ingreso seguro? Los estudiantes participan libremente usando el canal que prefieran (oral o mediante notas escritas).</w:t>
      </w:r>
    </w:p>
    <w:p>
      <w:pPr>
        <w:pStyle w:val="ListBullet"/>
        <w:spacing w:after="80"/>
      </w:pPr>
      <w:r>
        <w:rPr>
          <w:b/>
        </w:rPr>
        <w:t xml:space="preserve">Conflicto Cognitivo (10 min): </w:t>
      </w:r>
      <w:r>
        <w:t>Se plantea el reto: Si decido guardar mi dinero bajo el colchón por 40 años para mi vejez, ¿valdrá exactamente lo mismo en el futuro? ¿De quién es la responsabilidad de asegurar nuestro bienestar en la vejez: del Estado, de las empresas o de uno mismo?</w:t>
      </w:r>
    </w:p>
    <w:p>
      <w:pPr>
        <w:pStyle w:val="ListBullet"/>
        <w:spacing w:after="80"/>
      </w:pPr>
      <w:r>
        <w:rPr>
          <w:b/>
        </w:rPr>
        <w:t xml:space="preserve">Propósito y Organización (5 min): </w:t>
      </w:r>
      <w:r>
        <w:t>El docente comunica el propósito: "Hoy vamos a comprender cómo funciona el sistema de ahorro previsional en el Perú (AFP y ONP) para evaluar de qué manera nuestras decisiones económicas actuales garantizan nuestro bienestar futuro".</w:t>
      </w:r>
    </w:p>
    <w:p>
      <w:pPr>
        <w:keepNext/>
        <w:spacing w:before="200" w:after="80"/>
      </w:pPr>
      <w:r>
        <w:rPr>
          <w:b/>
          <w:color w:val="2E74B5"/>
          <w:sz w:val="23"/>
        </w:rPr>
        <w:t>3. DESARROLLO (85 minutos)</w:t>
      </w:r>
    </w:p>
    <w:p>
      <w:pPr>
        <w:pStyle w:val="ListBullet"/>
        <w:spacing w:after="80"/>
      </w:pPr>
      <w:r>
        <w:rPr>
          <w:b/>
        </w:rPr>
        <w:t xml:space="preserve">Manejo de la Información (25 min): </w:t>
      </w:r>
      <w:r>
        <w:t>El docente entrega un dossier informativo sobre el Sistema Previsional Peruano (AFP y ONP). Como estrategia DUA, la información se presenta de forma accesible: texto simplificado, apoyado por infografías visuales y un glosario de términos clave (rentabilidad, aporte obligatorio, interés compuesto) para eliminar barreras.</w:t>
      </w:r>
    </w:p>
    <w:p>
      <w:pPr>
        <w:pStyle w:val="ListBullet"/>
        <w:spacing w:after="80"/>
      </w:pPr>
      <w:r>
        <w:rPr>
          <w:b/>
        </w:rPr>
        <w:t xml:space="preserve">Trabajo Grupal y Aplicación (40 min): </w:t>
      </w:r>
      <w:r>
        <w:t>Se forman equipos de 4 integrantes con roles asignados según sus fortalezas individuales. Reciben un caso práctico del entorno peruano (un empleado en planilla formal y un comerciante independiente).</w:t>
        <w:br/>
        <w:t>- Actividad 1: Completar una matriz comparativa (AFP vs. ONP) analizando ventajas y riesgos de cada sistema.</w:t>
        <w:br/>
        <w:t>- Actividad 2: Diseñar un "Plan o Presupuesto Previsional" calculando el descuento estimado y proponiendo soluciones creativas frente a la informalidad.</w:t>
      </w:r>
    </w:p>
    <w:p>
      <w:pPr>
        <w:pStyle w:val="ListBullet"/>
        <w:spacing w:after="80"/>
      </w:pPr>
      <w:r>
        <w:rPr>
          <w:b/>
        </w:rPr>
        <w:t xml:space="preserve">Socialización y Debate (20 min): </w:t>
      </w:r>
      <w:r>
        <w:t>Los equipos exponen sus propuestas en el aula. Fiel al enfoque DUA, se permite que lo hagan mediante un mapa conceptual en la pizarra, una exposición clásica o dramatizando una asesoría financiera. El docente retroalimenta y consolida los conceptos económicos clave.</w:t>
      </w:r>
    </w:p>
    <w:p>
      <w:pPr>
        <w:keepNext/>
        <w:spacing w:before="200" w:after="80"/>
      </w:pPr>
      <w:r>
        <w:rPr>
          <w:b/>
          <w:color w:val="2E74B5"/>
          <w:sz w:val="23"/>
        </w:rPr>
        <w:t>4. CIERRE (15 minutos)</w:t>
      </w:r>
    </w:p>
    <w:p>
      <w:pPr>
        <w:pStyle w:val="ListBullet"/>
        <w:spacing w:after="80"/>
      </w:pPr>
      <w:r>
        <w:rPr>
          <w:b/>
        </w:rPr>
        <w:t xml:space="preserve">Evaluación y Síntesis (10 min): </w:t>
      </w:r>
      <w:r>
        <w:t>A nivel individual, los estudiantes responden: ¿Por qué el ahorro previsional es una inversión para tu "yo del futuro"? Tienen la plena libertad de responder por escrito o mediante un dibujo explicativo (Múltiples formas de Acción y Expresión).</w:t>
      </w:r>
    </w:p>
    <w:p>
      <w:pPr>
        <w:pStyle w:val="ListBullet"/>
        <w:spacing w:after="80"/>
      </w:pPr>
      <w:r>
        <w:rPr>
          <w:b/>
        </w:rPr>
        <w:t xml:space="preserve">Metacognición (5 min): </w:t>
      </w:r>
      <w:r>
        <w:t>Reflexionan guiados por las preguntas: ¿Qué aprendí hoy sobre el sistema financiero? ¿Qué se me hizo difícil entender y cómo lo superé? ¿Cómo le sirve este conocimiento a mi familia en el día a día?</w:t>
      </w:r>
    </w:p>
    <w:p>
      <w:pPr>
        <w:keepNext/>
        <w:spacing w:before="280" w:after="120"/>
      </w:pPr>
      <w:r>
        <w:rPr>
          <w:b/>
          <w:color w:val="1F4E78"/>
          <w:sz w:val="26"/>
        </w:rPr>
        <w:t>IV. INSTRUMENTO DE EVALUACIÓN: LISTA DE COTEJO</w:t>
      </w:r>
    </w:p>
    <w:tbl>
      <w:tblPr>
        <w:tblW w:type="auto" w:w="0"/>
        <w:jc w:val="center"/>
        <w:tblLook w:firstColumn="1" w:firstRow="1" w:lastColumn="0" w:lastRow="0" w:noHBand="0" w:noVBand="1" w:val="04A0"/>
        <w:tblBorders>
          <w:top w:val="single" w:sz="4" w:space="0" w:color="CCCCCC"/>
          <w:bottom w:val="single" w:sz="4" w:space="0" w:color="CCCCCC"/>
          <w:insideH w:val="single" w:sz="4" w:space="0" w:color="CCCCCC"/>
          <w:left w:val="none"/>
          <w:right w:val="none"/>
          <w:insideV w:val="none"/>
        </w:tblBorders>
      </w:tblPr>
      <w:tblGrid>
        <w:gridCol w:w="2340"/>
        <w:gridCol w:w="2340"/>
        <w:gridCol w:w="2340"/>
        <w:gridCol w:w="2340"/>
      </w:tblGrid>
      <w:tr>
        <w:tc>
          <w:tcPr>
            <w:tcW w:type="dxa" w:w="2340"/>
            <w:shd w:fill="2E74B5"/>
            <w:tcMar>
              <w:top w:w="120" w:type="dxa"/>
              <w:bottom w:w="120" w:type="dxa"/>
              <w:left w:w="150" w:type="dxa"/>
              <w:right w:w="150" w:type="dxa"/>
            </w:tcMar>
          </w:tcPr>
          <w:p>
            <w:pPr>
              <w:jc w:val="left"/>
            </w:pPr>
            <w:r>
              <w:rPr>
                <w:b/>
                <w:color w:val="FFFFFF"/>
              </w:rPr>
              <w:t>Criterios de Evaluación (Competencia Gestiona Responsablemente)</w:t>
            </w:r>
          </w:p>
        </w:tc>
        <w:tc>
          <w:tcPr>
            <w:tcW w:type="dxa" w:w="2340"/>
            <w:shd w:fill="2E74B5"/>
            <w:tcMar>
              <w:top w:w="120" w:type="dxa"/>
              <w:bottom w:w="120" w:type="dxa"/>
              <w:left w:w="150" w:type="dxa"/>
              <w:right w:w="150" w:type="dxa"/>
            </w:tcMar>
          </w:tcPr>
          <w:p>
            <w:pPr>
              <w:jc w:val="center"/>
            </w:pPr>
            <w:r>
              <w:rPr>
                <w:b/>
                <w:color w:val="FFFFFF"/>
              </w:rPr>
              <w:t>Logrado</w:t>
            </w:r>
          </w:p>
        </w:tc>
        <w:tc>
          <w:tcPr>
            <w:tcW w:type="dxa" w:w="2340"/>
            <w:shd w:fill="2E74B5"/>
            <w:tcMar>
              <w:top w:w="120" w:type="dxa"/>
              <w:bottom w:w="120" w:type="dxa"/>
              <w:left w:w="150" w:type="dxa"/>
              <w:right w:w="150" w:type="dxa"/>
            </w:tcMar>
          </w:tcPr>
          <w:p>
            <w:pPr>
              <w:jc w:val="center"/>
            </w:pPr>
            <w:r>
              <w:rPr>
                <w:b/>
                <w:color w:val="FFFFFF"/>
              </w:rPr>
              <w:t>En Proceso</w:t>
            </w:r>
          </w:p>
        </w:tc>
        <w:tc>
          <w:tcPr>
            <w:tcW w:type="dxa" w:w="2340"/>
            <w:shd w:fill="2E74B5"/>
            <w:tcMar>
              <w:top w:w="120" w:type="dxa"/>
              <w:bottom w:w="120" w:type="dxa"/>
              <w:left w:w="150" w:type="dxa"/>
              <w:right w:w="150" w:type="dxa"/>
            </w:tcMar>
          </w:tcPr>
          <w:p>
            <w:pPr>
              <w:jc w:val="center"/>
            </w:pPr>
            <w:r>
              <w:rPr>
                <w:b/>
                <w:color w:val="FFFFFF"/>
              </w:rPr>
              <w:t>Inicio</w:t>
            </w:r>
          </w:p>
        </w:tc>
      </w:tr>
      <w:tr>
        <w:tc>
          <w:tcPr>
            <w:tcW w:type="dxa" w:w="2340"/>
            <w:tcMar>
              <w:top w:w="100" w:type="dxa"/>
              <w:bottom w:w="100" w:type="dxa"/>
              <w:left w:w="150" w:type="dxa"/>
              <w:right w:w="150" w:type="dxa"/>
            </w:tcMar>
          </w:tcPr>
          <w:p>
            <w:r>
              <w:t>Diferencia las características y el funcionamiento operativo de la AFP y la ONP utilizando andamiajes visuales o textos de soporte de forma óptima.</w:t>
            </w:r>
          </w:p>
        </w:tc>
        <w:tc>
          <w:tcPr>
            <w:tcW w:type="dxa" w:w="2340"/>
            <w:tcMar>
              <w:top w:w="100" w:type="dxa"/>
              <w:bottom w:w="100" w:type="dxa"/>
              <w:left w:w="150" w:type="dxa"/>
              <w:right w:w="150" w:type="dxa"/>
            </w:tcMar>
          </w:tcPr>
          <w:p/>
        </w:tc>
        <w:tc>
          <w:tcPr>
            <w:tcW w:type="dxa" w:w="2340"/>
            <w:tcMar>
              <w:top w:w="100" w:type="dxa"/>
              <w:bottom w:w="100" w:type="dxa"/>
              <w:left w:w="150" w:type="dxa"/>
              <w:right w:w="150" w:type="dxa"/>
            </w:tcMar>
          </w:tcPr>
          <w:p/>
        </w:tc>
        <w:tc>
          <w:tcPr>
            <w:tcW w:type="dxa" w:w="2340"/>
            <w:tcMar>
              <w:top w:w="100" w:type="dxa"/>
              <w:bottom w:w="100" w:type="dxa"/>
              <w:left w:w="150" w:type="dxa"/>
              <w:right w:w="150" w:type="dxa"/>
            </w:tcMar>
          </w:tcPr>
          <w:p/>
        </w:tc>
      </w:tr>
      <w:tr>
        <w:tc>
          <w:tcPr>
            <w:tcW w:type="dxa" w:w="2340"/>
            <w:tcMar>
              <w:top w:w="100" w:type="dxa"/>
              <w:bottom w:w="100" w:type="dxa"/>
              <w:left w:w="150" w:type="dxa"/>
              <w:right w:w="150" w:type="dxa"/>
            </w:tcMar>
            <w:shd w:fill="F2F2F2"/>
          </w:tcPr>
          <w:p>
            <w:r>
              <w:t>Analiza críticamente el impacto directo de la informalidad laboral en la seguridad social y el ahorro previsional a largo plazo.</w:t>
            </w:r>
          </w:p>
        </w:tc>
        <w:tc>
          <w:tcPr>
            <w:tcW w:type="dxa" w:w="2340"/>
            <w:tcMar>
              <w:top w:w="100" w:type="dxa"/>
              <w:bottom w:w="100" w:type="dxa"/>
              <w:left w:w="150" w:type="dxa"/>
              <w:right w:w="150" w:type="dxa"/>
            </w:tcMar>
            <w:shd w:fill="F2F2F2"/>
          </w:tcPr>
          <w:p/>
        </w:tc>
        <w:tc>
          <w:tcPr>
            <w:tcW w:type="dxa" w:w="2340"/>
            <w:tcMar>
              <w:top w:w="100" w:type="dxa"/>
              <w:bottom w:w="100" w:type="dxa"/>
              <w:left w:w="150" w:type="dxa"/>
              <w:right w:w="150" w:type="dxa"/>
            </w:tcMar>
            <w:shd w:fill="F2F2F2"/>
          </w:tcPr>
          <w:p/>
        </w:tc>
        <w:tc>
          <w:tcPr>
            <w:tcW w:type="dxa" w:w="2340"/>
            <w:tcMar>
              <w:top w:w="100" w:type="dxa"/>
              <w:bottom w:w="100" w:type="dxa"/>
              <w:left w:w="150" w:type="dxa"/>
              <w:right w:w="150" w:type="dxa"/>
            </w:tcMar>
            <w:shd w:fill="F2F2F2"/>
          </w:tcPr>
          <w:p/>
        </w:tc>
      </w:tr>
      <w:tr>
        <w:tc>
          <w:tcPr>
            <w:tcW w:type="dxa" w:w="2340"/>
            <w:tcMar>
              <w:top w:w="100" w:type="dxa"/>
              <w:bottom w:w="100" w:type="dxa"/>
              <w:left w:w="150" w:type="dxa"/>
              <w:right w:w="150" w:type="dxa"/>
            </w:tcMar>
          </w:tcPr>
          <w:p>
            <w:r>
              <w:t>Fundamenta decisiones económicas responsables orientadas a la previsión, elaborando un presupuesto futuro realista.</w:t>
            </w:r>
          </w:p>
        </w:tc>
        <w:tc>
          <w:tcPr>
            <w:tcW w:type="dxa" w:w="2340"/>
            <w:tcMar>
              <w:top w:w="100" w:type="dxa"/>
              <w:bottom w:w="100" w:type="dxa"/>
              <w:left w:w="150" w:type="dxa"/>
              <w:right w:w="150" w:type="dxa"/>
            </w:tcMar>
          </w:tcPr>
          <w:p/>
        </w:tc>
        <w:tc>
          <w:tcPr>
            <w:tcW w:type="dxa" w:w="2340"/>
            <w:tcMar>
              <w:top w:w="100" w:type="dxa"/>
              <w:bottom w:w="100" w:type="dxa"/>
              <w:left w:w="150" w:type="dxa"/>
              <w:right w:w="150" w:type="dxa"/>
            </w:tcMar>
          </w:tcPr>
          <w:p/>
        </w:tc>
        <w:tc>
          <w:tcPr>
            <w:tcW w:type="dxa" w:w="2340"/>
            <w:tcMar>
              <w:top w:w="100" w:type="dxa"/>
              <w:bottom w:w="100" w:type="dxa"/>
              <w:left w:w="150" w:type="dxa"/>
              <w:right w:w="150" w:type="dxa"/>
            </w:tcMar>
          </w:tcP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