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CAE0B"/>
    <w:tbl>
      <w:tblPr>
        <w:tblStyle w:val="4"/>
        <w:tblW w:w="10343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3"/>
        <w:gridCol w:w="8680"/>
      </w:tblGrid>
      <w:tr w14:paraId="791C9A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09" w:hRule="atLeast"/>
          <w:jc w:val="center"/>
        </w:trPr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DD3E1">
            <w:pPr>
              <w:pStyle w:val="5"/>
              <w:ind w:right="14"/>
            </w:pPr>
            <w: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95300" cy="542925"/>
                  <wp:effectExtent l="0" t="0" r="0" b="9525"/>
                  <wp:wrapSquare wrapText="bothSides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86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6508E">
            <w:pPr>
              <w:pStyle w:val="5"/>
              <w:ind w:right="14"/>
              <w:rPr>
                <w:b/>
                <w:bCs/>
              </w:rPr>
            </w:pPr>
            <w: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4962525</wp:posOffset>
                  </wp:positionH>
                  <wp:positionV relativeFrom="line">
                    <wp:posOffset>0</wp:posOffset>
                  </wp:positionV>
                  <wp:extent cx="466725" cy="581025"/>
                  <wp:effectExtent l="0" t="0" r="9525" b="9525"/>
                  <wp:wrapSquare wrapText="bothSides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Tahoma"/>
                <w:b/>
                <w:bCs/>
              </w:rPr>
              <w:t>I.E NUESTRA SEÑORA DEL DIVINO AMOR</w:t>
            </w:r>
          </w:p>
          <w:p w14:paraId="4F3D2E0D">
            <w:pPr>
              <w:pStyle w:val="5"/>
              <w:ind w:right="14"/>
            </w:pPr>
            <w:r>
              <w:rPr>
                <w:rFonts w:ascii="Calibri" w:hAnsi="Calibri" w:cs="Tahoma"/>
                <w:b/>
                <w:bCs/>
                <w:sz w:val="28"/>
                <w:szCs w:val="28"/>
              </w:rPr>
              <w:t>SESIÓN DE APRENDIZAJE N°1- UNIDAD VI</w:t>
            </w:r>
          </w:p>
        </w:tc>
      </w:tr>
    </w:tbl>
    <w:p w14:paraId="59503760">
      <w:pPr>
        <w:ind w:right="-568"/>
      </w:pPr>
      <w:r>
        <w:rPr>
          <w:b/>
          <w:bCs/>
          <w:sz w:val="24"/>
          <w:szCs w:val="24"/>
        </w:rPr>
        <w:t>I.- DATOS GENERALES:</w:t>
      </w:r>
    </w:p>
    <w:tbl>
      <w:tblPr>
        <w:tblStyle w:val="4"/>
        <w:tblW w:w="10467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26"/>
        <w:gridCol w:w="3523"/>
        <w:gridCol w:w="1540"/>
        <w:gridCol w:w="2978"/>
      </w:tblGrid>
      <w:tr w14:paraId="12814C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7" w:hRule="atLeast"/>
          <w:jc w:val="center"/>
        </w:trPr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9419A">
            <w:pPr>
              <w:pStyle w:val="9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Profesor (a):</w:t>
            </w:r>
          </w:p>
        </w:tc>
        <w:tc>
          <w:tcPr>
            <w:tcW w:w="3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6A814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ANA MARIA RODRIGUEZ SILVA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0047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Grado:</w:t>
            </w:r>
          </w:p>
        </w:tc>
        <w:tc>
          <w:tcPr>
            <w:tcW w:w="2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664AF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SEGUNDO</w:t>
            </w:r>
          </w:p>
        </w:tc>
      </w:tr>
      <w:tr w14:paraId="7C24F9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3" w:hRule="atLeast"/>
          <w:jc w:val="center"/>
        </w:trPr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40D7B">
            <w:pPr>
              <w:pStyle w:val="9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Nivel:</w:t>
            </w:r>
          </w:p>
        </w:tc>
        <w:tc>
          <w:tcPr>
            <w:tcW w:w="3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5EC3E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SECUNDARIO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4E814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Sección:</w:t>
            </w:r>
          </w:p>
        </w:tc>
        <w:tc>
          <w:tcPr>
            <w:tcW w:w="2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83424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 xml:space="preserve">          A Y B</w:t>
            </w:r>
          </w:p>
        </w:tc>
      </w:tr>
      <w:tr w14:paraId="274E2B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" w:hRule="atLeast"/>
          <w:jc w:val="center"/>
        </w:trPr>
        <w:tc>
          <w:tcPr>
            <w:tcW w:w="2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98A4D">
            <w:pPr>
              <w:pStyle w:val="9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Tiempo:</w:t>
            </w:r>
          </w:p>
        </w:tc>
        <w:tc>
          <w:tcPr>
            <w:tcW w:w="3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B8CB6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90  MINUTOS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C255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fecha</w:t>
            </w:r>
          </w:p>
        </w:tc>
        <w:tc>
          <w:tcPr>
            <w:tcW w:w="29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93B20">
            <w:pPr>
              <w:pStyle w:val="9"/>
              <w:spacing w:after="0"/>
              <w:ind w:left="0"/>
              <w:rPr>
                <w:rFonts w:ascii="Arial Narrow" w:hAnsi="Arial Narrow" w:eastAsia="Calibri"/>
                <w:b/>
                <w:sz w:val="20"/>
                <w:szCs w:val="20"/>
              </w:rPr>
            </w:pPr>
            <w:r>
              <w:rPr>
                <w:rFonts w:ascii="Arial Narrow" w:hAnsi="Arial Narrow" w:eastAsia="Calibri"/>
                <w:b/>
                <w:sz w:val="20"/>
                <w:szCs w:val="20"/>
              </w:rPr>
              <w:t>14 Y16/09/2026</w:t>
            </w:r>
          </w:p>
        </w:tc>
      </w:tr>
    </w:tbl>
    <w:p w14:paraId="7CE38366">
      <w:pPr>
        <w:spacing w:after="0"/>
        <w:rPr>
          <w:vanish/>
        </w:rPr>
      </w:pPr>
      <w:r>
        <w:rPr>
          <w:vanish/>
        </w:rPr>
        <w:t xml:space="preserve"> </w:t>
      </w:r>
    </w:p>
    <w:tbl>
      <w:tblPr>
        <w:tblStyle w:val="4"/>
        <w:tblW w:w="10490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90"/>
      </w:tblGrid>
      <w:tr w14:paraId="6C43E1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8" w:hRule="atLeast"/>
          <w:jc w:val="center"/>
        </w:trPr>
        <w:tc>
          <w:tcPr>
            <w:tcW w:w="10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EBB9">
            <w:pPr>
              <w:pStyle w:val="6"/>
              <w:spacing w:after="200" w:afterAutospacing="0"/>
              <w:jc w:val="center"/>
              <w:rPr>
                <w:rFonts w:ascii="Calibri" w:hAnsi="Calibri" w:cs="Calibri"/>
                <w:b/>
                <w:bCs/>
                <w:color w:val="2E74B5"/>
                <w:kern w:val="36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2E74B5"/>
                <w:sz w:val="22"/>
                <w:szCs w:val="22"/>
              </w:rPr>
              <w:t xml:space="preserve">II. TÍTULO DE LA SESIÓN : </w:t>
            </w:r>
          </w:p>
        </w:tc>
      </w:tr>
      <w:tr w14:paraId="486B1C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8" w:hRule="atLeast"/>
          <w:jc w:val="center"/>
        </w:trPr>
        <w:tc>
          <w:tcPr>
            <w:tcW w:w="10490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A3F8">
            <w:pPr>
              <w:pStyle w:val="2"/>
              <w:spacing w:after="200"/>
              <w:jc w:val="center"/>
              <w:rPr>
                <w:b/>
                <w:bCs/>
                <w:kern w:val="36"/>
              </w:rPr>
            </w:pP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>EL ENLACE IONICO APLICANDO A LA EDUCACION FINANCIERA</w:t>
            </w:r>
          </w:p>
        </w:tc>
      </w:tr>
    </w:tbl>
    <w:p w14:paraId="502069C8">
      <w:pPr>
        <w:spacing w:before="0" w:beforeAutospacing="0" w:after="0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  <w:t xml:space="preserve"> </w:t>
      </w:r>
    </w:p>
    <w:tbl>
      <w:tblPr>
        <w:tblStyle w:val="4"/>
        <w:tblW w:w="10490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47"/>
        <w:gridCol w:w="430"/>
        <w:gridCol w:w="1271"/>
        <w:gridCol w:w="1938"/>
        <w:gridCol w:w="335"/>
        <w:gridCol w:w="1555"/>
        <w:gridCol w:w="2414"/>
      </w:tblGrid>
      <w:tr w14:paraId="554B89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3" w:hRule="atLeast"/>
          <w:jc w:val="center"/>
        </w:trPr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F194">
            <w:pPr>
              <w:pStyle w:val="6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ENFOQUE TRANSVERSAL</w:t>
            </w:r>
          </w:p>
        </w:tc>
        <w:tc>
          <w:tcPr>
            <w:tcW w:w="354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7F08">
            <w:pPr>
              <w:pStyle w:val="6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COMPETENCIA TRANSVERSAL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BF53A">
            <w:pPr>
              <w:pStyle w:val="6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CAMPO TEMÁTICO</w:t>
            </w:r>
          </w:p>
        </w:tc>
      </w:tr>
      <w:tr w14:paraId="6A907D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173C">
            <w:pPr>
              <w:pStyle w:val="6"/>
              <w:suppressAutoHyphens/>
              <w:spacing w:after="0" w:afterAutospacing="0"/>
              <w:textAlignment w:val="baseline"/>
            </w:pPr>
            <w:r>
              <w:rPr>
                <w:rFonts w:ascii="Nunito" w:hAnsi="Nunito"/>
                <w:sz w:val="18"/>
                <w:szCs w:val="18"/>
                <w:shd w:val="clear" w:color="auto" w:fill="FFFFFF"/>
              </w:rPr>
              <w:t>Enfoque de derechos</w:t>
            </w:r>
          </w:p>
        </w:tc>
        <w:tc>
          <w:tcPr>
            <w:tcW w:w="354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62C45">
            <w:pPr>
              <w:pStyle w:val="6"/>
              <w:suppressAutoHyphens/>
              <w:spacing w:after="0" w:afterAutospacing="0"/>
              <w:textAlignment w:val="baseline"/>
            </w:pPr>
            <w:r>
              <w:rPr>
                <w:rFonts w:ascii="Nunito" w:hAnsi="Nunito"/>
                <w:sz w:val="18"/>
                <w:szCs w:val="18"/>
                <w:shd w:val="clear" w:color="auto" w:fill="FFFFFF"/>
              </w:rPr>
              <w:t xml:space="preserve"> Gestiona su aprendizaje de manera autónoma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13E2">
            <w:pPr>
              <w:pStyle w:val="9"/>
              <w:tabs>
                <w:tab w:val="left" w:pos="152"/>
              </w:tabs>
              <w:spacing w:after="0"/>
              <w:ind w:left="0"/>
              <w:rPr>
                <w:rFonts w:cs="Arial"/>
              </w:rPr>
            </w:pP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>el enlace iónico</w:t>
            </w:r>
          </w:p>
        </w:tc>
      </w:tr>
      <w:tr w14:paraId="119D9D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EF8C">
            <w:pPr>
              <w:pStyle w:val="6"/>
              <w:rPr>
                <w:rFonts w:ascii="Nunito" w:hAnsi="Nuni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4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BB868">
            <w:pPr>
              <w:pStyle w:val="6"/>
              <w:rPr>
                <w:rFonts w:ascii="Nunito" w:hAnsi="Nunito"/>
                <w:sz w:val="18"/>
                <w:szCs w:val="18"/>
                <w:shd w:val="clear" w:color="auto" w:fill="FFFFFF"/>
              </w:rPr>
            </w:pPr>
            <w:r>
              <w:rPr>
                <w:rFonts w:ascii="Nunito" w:hAnsi="Nunito"/>
                <w:sz w:val="18"/>
                <w:szCs w:val="18"/>
                <w:shd w:val="clear" w:color="auto" w:fill="FFFFFF"/>
              </w:rPr>
              <w:t>III. APRENDIZAJES ESPERADOS</w:t>
            </w:r>
          </w:p>
        </w:tc>
        <w:tc>
          <w:tcPr>
            <w:tcW w:w="396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52DC">
            <w:pPr>
              <w:pStyle w:val="9"/>
              <w:tabs>
                <w:tab w:val="left" w:pos="152"/>
              </w:tabs>
              <w:rPr>
                <w:b/>
                <w:bCs/>
                <w:color w:val="1F1F1F"/>
                <w:sz w:val="24"/>
                <w:szCs w:val="24"/>
              </w:rPr>
            </w:pPr>
          </w:p>
        </w:tc>
      </w:tr>
      <w:tr w14:paraId="6F7570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1" w:hRule="atLeast"/>
          <w:jc w:val="center"/>
        </w:trPr>
        <w:tc>
          <w:tcPr>
            <w:tcW w:w="2547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3750">
            <w:pPr>
              <w:spacing w:after="0"/>
              <w:jc w:val="center"/>
            </w:pPr>
            <w:r>
              <w:rPr>
                <w:b/>
                <w:bCs/>
              </w:rPr>
              <w:t>ESTÁNDAR</w:t>
            </w:r>
          </w:p>
        </w:tc>
        <w:tc>
          <w:tcPr>
            <w:tcW w:w="1701" w:type="dxa"/>
            <w:gridSpan w:val="2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D81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1938" w:type="dxa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F1D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</w:t>
            </w:r>
          </w:p>
        </w:tc>
        <w:tc>
          <w:tcPr>
            <w:tcW w:w="1890" w:type="dxa"/>
            <w:gridSpan w:val="2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3B2B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2414" w:type="dxa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CCDF2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 DE EVALUACIÓN</w:t>
            </w:r>
          </w:p>
        </w:tc>
      </w:tr>
      <w:tr w14:paraId="7F72E0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13" w:hRule="atLeast"/>
          <w:jc w:val="center"/>
        </w:trPr>
        <w:tc>
          <w:tcPr>
            <w:tcW w:w="2547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7CF8">
            <w:pPr>
              <w:pStyle w:val="6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-Indaga a partir de preguntas e hipótesis que son verificables de forma experimental o descriptiva en base a su conocimiento científico para explicar las causas o describir el fenómeno identificado.</w:t>
            </w:r>
          </w:p>
          <w:p w14:paraId="4DD2EEAA">
            <w:pPr>
              <w:pStyle w:val="6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-Diseña un plan de recojo de datos en base a observaciones y experimentos.</w:t>
            </w:r>
          </w:p>
          <w:p w14:paraId="301ACEEB">
            <w:pPr>
              <w:pStyle w:val="6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-Colecta datos que contribuyan a comprobar o refutar la hipótesis.</w:t>
            </w:r>
          </w:p>
          <w:p w14:paraId="0F80DB13">
            <w:pPr>
              <w:pStyle w:val="6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Analiza tendencias o relaciones en los datos, los interpreta tomando en cuenta el error y reproducibilidad, los interpreta en base a conocimientos científicos y formula conclusiones.</w:t>
            </w:r>
          </w:p>
          <w:p w14:paraId="5D61293D">
            <w:pPr>
              <w:pStyle w:val="6"/>
              <w:suppressAutoHyphens/>
              <w:spacing w:before="0" w:beforeAutospacing="0" w:after="0" w:afterAutospacing="0"/>
              <w:textAlignment w:val="baseline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-Evalúa si sus conclusiones responden a la pregunta de indagación y las comunica</w:t>
            </w:r>
          </w:p>
        </w:tc>
        <w:tc>
          <w:tcPr>
            <w:tcW w:w="1701" w:type="dxa"/>
            <w:gridSpan w:val="2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7F1FB">
            <w:pPr>
              <w:spacing w:after="0"/>
              <w:jc w:val="both"/>
            </w:pPr>
          </w:p>
          <w:p w14:paraId="5B8B2ECE">
            <w:pPr>
              <w:spacing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Indaga mediante métodos científicos para construir sus conocimientos</w:t>
            </w:r>
          </w:p>
          <w:p w14:paraId="058F8229"/>
        </w:tc>
        <w:tc>
          <w:tcPr>
            <w:tcW w:w="1938" w:type="dxa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12E4">
            <w:pPr>
              <w:spacing w:after="0" w:line="264" w:lineRule="auto"/>
              <w:jc w:val="both"/>
              <w:rPr>
                <w:sz w:val="20"/>
                <w:szCs w:val="20"/>
              </w:rPr>
            </w:pPr>
            <w:r>
              <w:rPr>
                <w:color w:val="4C4C4C"/>
                <w:sz w:val="18"/>
                <w:szCs w:val="18"/>
              </w:rPr>
              <w:t>Analiza datos e información</w:t>
            </w:r>
          </w:p>
        </w:tc>
        <w:tc>
          <w:tcPr>
            <w:tcW w:w="1890" w:type="dxa"/>
            <w:gridSpan w:val="2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B748">
            <w:pPr>
              <w:spacing w:before="0" w:beforeAutospacing="0" w:after="0"/>
              <w:rPr>
                <w:color w:val="4C4C4C"/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Compara los datos obtenidos (cualitativos y cuantitativos) para establecer relaciones de causalidad, correspondencia, equivalencia, pertenencia, similitud, diferencia u otros. Identifica regularidades o tendencias. Contrasta los resultados con su hipótesis e información científica para confirmar o refutar su hipótesis, y elabora conclusiones</w:t>
            </w:r>
          </w:p>
        </w:tc>
        <w:tc>
          <w:tcPr>
            <w:tcW w:w="2414" w:type="dxa"/>
            <w:tcBorders>
              <w:top w:val="single" w:color="666666" w:sz="4" w:space="0"/>
              <w:left w:val="nil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01C6">
            <w:pPr>
              <w:spacing w:before="30" w:beforeAutospacing="0" w:after="30"/>
            </w:pPr>
            <w:r>
              <w:rPr>
                <w:rFonts w:cs="Calibri"/>
                <w:color w:val="4C4C4C"/>
                <w:sz w:val="18"/>
                <w:szCs w:val="18"/>
              </w:rPr>
              <w:t xml:space="preserve"> </w:t>
            </w:r>
            <w:r>
              <w:rPr>
                <w:color w:val="4C4C4C"/>
                <w:sz w:val="18"/>
                <w:szCs w:val="18"/>
              </w:rPr>
              <w:t xml:space="preserve"> Analiza los datos cualitativos y cuantitativos obtenidos al comparar la formación de enlaces iónicos con situaciones de educación financiera (por ejemplo, cómo se "cede" y "gana" dinero en un préstamo o presupuesto), estableciendo relaciones de causalidad, correspondencia o diferencia, identificando regularidades o tendencias, y contrasta esos resultados con su hipótesis y con la información científica sobre enlace iónico para confirmar o refutar su hipótesis y elaborar conclusiones.</w:t>
            </w:r>
          </w:p>
        </w:tc>
      </w:tr>
    </w:tbl>
    <w:p w14:paraId="7524D4BA">
      <w:pPr>
        <w:pStyle w:val="7"/>
        <w:ind w:left="-851"/>
        <w:rPr>
          <w:color w:val="4C4C4C"/>
          <w:sz w:val="20"/>
          <w:szCs w:val="20"/>
        </w:rPr>
      </w:pPr>
      <w:r>
        <w:rPr>
          <w:b/>
          <w:i/>
          <w:u w:val="single"/>
        </w:rPr>
        <w:t>Propósito de la sesión:</w:t>
      </w:r>
      <w:r>
        <w:rPr>
          <w:color w:val="4C4C4C"/>
          <w:sz w:val="20"/>
          <w:szCs w:val="20"/>
        </w:rPr>
        <w:t xml:space="preserve"> Analizar datos cualitativos y cuantitativos obtenidos al comparar la formación de enlaces iónicos con situaciones de educación financiera, estableciendo relaciones de causalidad, correspondencia y diferencia, identificando regularidades o tendencias, y contrastando los resultados con su hipótesis</w:t>
      </w:r>
    </w:p>
    <w:tbl>
      <w:tblPr>
        <w:tblStyle w:val="4"/>
        <w:tblW w:w="907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71"/>
      </w:tblGrid>
      <w:tr w14:paraId="5FEAFB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1DF94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IV. SECUENCIA DIDÁCTICA</w:t>
            </w:r>
          </w:p>
        </w:tc>
      </w:tr>
      <w:tr w14:paraId="2EF03D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4754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 xml:space="preserve">Inicio:  </w:t>
            </w:r>
          </w:p>
        </w:tc>
      </w:tr>
      <w:tr w14:paraId="25B5EA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78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B745">
            <w:pPr>
              <w:spacing w:before="30" w:after="30"/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4869815</wp:posOffset>
                  </wp:positionH>
                  <wp:positionV relativeFrom="paragraph">
                    <wp:posOffset>90170</wp:posOffset>
                  </wp:positionV>
                  <wp:extent cx="581025" cy="581025"/>
                  <wp:effectExtent l="0" t="0" r="9525" b="9525"/>
                  <wp:wrapSquare wrapText="bothSides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4C4C4C"/>
                <w:sz w:val="20"/>
                <w:szCs w:val="20"/>
              </w:rPr>
              <w:t>EL ENLACE IÓNICO Y LA EDUCACIÓN FINANCIERA</w:t>
            </w:r>
          </w:p>
          <w:p w14:paraId="08EB41AB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 xml:space="preserve">Un enlace iónico se forma cuando un átomo </w:t>
            </w:r>
            <w:r>
              <w:rPr>
                <w:b/>
                <w:bCs/>
                <w:color w:val="4C4C4C"/>
                <w:sz w:val="20"/>
                <w:szCs w:val="20"/>
              </w:rPr>
              <w:t>cede electrones</w:t>
            </w:r>
            <w:r>
              <w:rPr>
                <w:color w:val="4C4C4C"/>
                <w:sz w:val="20"/>
                <w:szCs w:val="20"/>
              </w:rPr>
              <w:t xml:space="preserve"> (catión) y otro los </w:t>
            </w:r>
            <w:r>
              <w:rPr>
                <w:b/>
                <w:bCs/>
                <w:color w:val="4C4C4C"/>
                <w:sz w:val="20"/>
                <w:szCs w:val="20"/>
              </w:rPr>
              <w:t>gana</w:t>
            </w:r>
            <w:r>
              <w:rPr>
                <w:color w:val="4C4C4C"/>
                <w:sz w:val="20"/>
                <w:szCs w:val="20"/>
              </w:rPr>
              <w:t xml:space="preserve"> (anión). El metal, con pocos electrones en su última capa, los entrega; el no metal, con muchos, los recibe. Ambos quedan con carga eléctrica opuesta y se atraen con fuerza: esa atracción es el enlace. El compuesto resultante es neutro porque las cargas se equilibran.</w:t>
            </w:r>
          </w:p>
          <w:p w14:paraId="4442E821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 xml:space="preserve">En un préstamo o en un presupuesto ocurre algo paralelo: quien presta </w:t>
            </w:r>
            <w:r>
              <w:rPr>
                <w:b/>
                <w:bCs/>
                <w:color w:val="4C4C4C"/>
                <w:sz w:val="20"/>
                <w:szCs w:val="20"/>
              </w:rPr>
              <w:t>cede</w:t>
            </w:r>
            <w:r>
              <w:rPr>
                <w:color w:val="4C4C4C"/>
                <w:sz w:val="20"/>
                <w:szCs w:val="20"/>
              </w:rPr>
              <w:t xml:space="preserve"> un recurso y espera recuperarlo; quien recibe lo </w:t>
            </w:r>
            <w:r>
              <w:rPr>
                <w:b/>
                <w:bCs/>
                <w:color w:val="4C4C4C"/>
                <w:sz w:val="20"/>
                <w:szCs w:val="20"/>
              </w:rPr>
              <w:t>gana</w:t>
            </w:r>
            <w:r>
              <w:rPr>
                <w:color w:val="4C4C4C"/>
                <w:sz w:val="20"/>
                <w:szCs w:val="20"/>
              </w:rPr>
              <w:t xml:space="preserve"> temporalmente y adquiere un compromiso. Hay un "antes" y un "después" medible, una relación de correspondencia entre lo cedido y lo ganado, y un equilibrio final que debe cerrar. Esa analogía permite comparar datos cualitativos (quién cede, quién gana, por qué) y cuantitativos (cuánto se cede, cuánto se gana, cuánto queda).</w:t>
            </w:r>
          </w:p>
          <w:p w14:paraId="2C16AC5C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 xml:space="preserve">La comparación no es decorativa: obliga a identificar </w:t>
            </w:r>
            <w:r>
              <w:rPr>
                <w:b/>
                <w:bCs/>
                <w:color w:val="4C4C4C"/>
                <w:sz w:val="20"/>
                <w:szCs w:val="20"/>
              </w:rPr>
              <w:t>relaciones de causalidad</w:t>
            </w:r>
            <w:r>
              <w:rPr>
                <w:color w:val="4C4C4C"/>
                <w:sz w:val="20"/>
                <w:szCs w:val="20"/>
              </w:rPr>
              <w:t xml:space="preserve"> (qué provoca la unión), </w:t>
            </w:r>
            <w:r>
              <w:rPr>
                <w:b/>
                <w:bCs/>
                <w:color w:val="4C4C4C"/>
                <w:sz w:val="20"/>
                <w:szCs w:val="20"/>
              </w:rPr>
              <w:t>correspondencia</w:t>
            </w:r>
            <w:r>
              <w:rPr>
                <w:color w:val="4C4C4C"/>
                <w:sz w:val="20"/>
                <w:szCs w:val="20"/>
              </w:rPr>
              <w:t xml:space="preserve"> (a cada electrón cedido, uno ganado) y </w:t>
            </w:r>
            <w:r>
              <w:rPr>
                <w:b/>
                <w:bCs/>
                <w:color w:val="4C4C4C"/>
                <w:sz w:val="20"/>
                <w:szCs w:val="20"/>
              </w:rPr>
              <w:t>diferencia</w:t>
            </w:r>
            <w:r>
              <w:rPr>
                <w:color w:val="4C4C4C"/>
                <w:sz w:val="20"/>
                <w:szCs w:val="20"/>
              </w:rPr>
              <w:t xml:space="preserve"> (el enlace es estable y permanente; el préstamo es temporal y se devuelve). Reconocer esas regularidades permite confirmar o refutar una hipótesis con evidencia, no con intuición.</w:t>
            </w:r>
            <w:r>
              <w:t xml:space="preserve"> </w:t>
            </w:r>
          </w:p>
          <w:p w14:paraId="7CDF0FAC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Inicio (15 min)</w:t>
            </w:r>
          </w:p>
          <w:p w14:paraId="146939EA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Saludo y acuerdos</w:t>
            </w:r>
          </w:p>
          <w:p w14:paraId="23DF8660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Buenos días. ¿Alguna vez alguien les prestó algo y quedó "en deuda" con esa persona? Hoy veremos que la materia también hace algo parecido.</w:t>
            </w:r>
          </w:p>
          <w:p w14:paraId="5132C579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Escuchamos sin interrumpir y levantamos la mano para opinar.</w:t>
            </w:r>
          </w:p>
          <w:p w14:paraId="23CEA06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Respetamos las ideas distintas; toda hipótesis se puede discutir con evidencia.</w:t>
            </w:r>
          </w:p>
          <w:p w14:paraId="48ED5DE6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Cuidamos los materiales y el espacio de trabajo en equipo.</w:t>
            </w:r>
          </w:p>
          <w:p w14:paraId="55381466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Motivación: "El trueque de monedas" (5 min)</w:t>
            </w:r>
          </w:p>
          <w:p w14:paraId="637370B5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Cada equipo recibe 6 monedas de papel: 3 marcadas "cede" y 3 "gana". Deben emparejarlas formando "parejas estables" y explicar por qué las unieron así.</w:t>
            </w:r>
          </w:p>
          <w:p w14:paraId="5EB7BFEC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hace que dos monedas queden "pegadas" y no se separen?</w:t>
            </w:r>
          </w:p>
          <w:p w14:paraId="4A4A975A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pasaría si alguien diera más de lo que recibe?</w:t>
            </w:r>
          </w:p>
          <w:p w14:paraId="2A9D30A3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Recojo de saberes previos (3 min)</w:t>
            </w:r>
          </w:p>
          <w:p w14:paraId="6B5FA7F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es un enlace químico? ¿Qué recuerdas del enlace iónico?</w:t>
            </w:r>
          </w:p>
          <w:p w14:paraId="4FBC9FC0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significa "ceder" y "ganar" en un préstamo o al armar un presupuesto?</w:t>
            </w:r>
          </w:p>
          <w:p w14:paraId="124978EC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¿En qué se parecen un átomo que cede electrones y una persona que presta dinero?</w:t>
            </w:r>
          </w:p>
          <w:p w14:paraId="27B0A5FD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Problematización (5 min)</w:t>
            </w:r>
          </w:p>
          <w:p w14:paraId="3EDCB3DA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 xml:space="preserve">En un préstamo, quien recibe el dinero </w:t>
            </w:r>
            <w:r>
              <w:rPr>
                <w:b/>
                <w:bCs/>
                <w:color w:val="4C4C4C"/>
                <w:sz w:val="20"/>
                <w:szCs w:val="20"/>
              </w:rPr>
              <w:t>debe devolverlo</w:t>
            </w:r>
            <w:r>
              <w:rPr>
                <w:color w:val="4C4C4C"/>
                <w:sz w:val="20"/>
                <w:szCs w:val="20"/>
              </w:rPr>
              <w:t xml:space="preserve">; en un enlace iónico, el átomo que gana electrones </w:t>
            </w:r>
            <w:r>
              <w:rPr>
                <w:b/>
                <w:bCs/>
                <w:color w:val="4C4C4C"/>
                <w:sz w:val="20"/>
                <w:szCs w:val="20"/>
              </w:rPr>
              <w:t>no los devuelve jamás</w:t>
            </w:r>
            <w:r>
              <w:rPr>
                <w:color w:val="4C4C4C"/>
                <w:sz w:val="20"/>
                <w:szCs w:val="20"/>
              </w:rPr>
              <w:t>. Sin embargo, ambos casos se describen como "uno cede y otro gana".</w:t>
            </w:r>
          </w:p>
          <w:p w14:paraId="33EC7CFA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Si el enlace iónico no se "devuelve", ¿sigue siendo válido compararlo con un préstamo? ¿Por qué?</w:t>
            </w:r>
          </w:p>
          <w:p w14:paraId="128340F0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dato tendrías que medir para demostrar que la comparación se sostiene o se rompe?</w:t>
            </w:r>
          </w:p>
          <w:p w14:paraId="505F00EB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crees que encontrarás al comparar ambos casos con números reales?</w:t>
            </w:r>
          </w:p>
          <w:p w14:paraId="67B30705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Propósito de la sesión (2 min)</w:t>
            </w:r>
          </w:p>
          <w:p w14:paraId="5A2127E0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Título:</w:t>
            </w:r>
            <w:r>
              <w:rPr>
                <w:color w:val="4C4C4C"/>
                <w:sz w:val="20"/>
                <w:szCs w:val="20"/>
              </w:rPr>
              <w:t xml:space="preserve"> EL ENLACE IÓNICO APLICANDO A LA EDUCACIÓN FINANCIERA.</w:t>
            </w:r>
          </w:p>
          <w:p w14:paraId="4503AD24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Hoy compararemos cómo se cede y se gana en un enlace iónico y en una situación financiera, usando datos y no solo opiniones.</w:t>
            </w:r>
          </w:p>
          <w:p w14:paraId="39162614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Sabré que lo logré si…</w:t>
            </w:r>
          </w:p>
          <w:p w14:paraId="21BFAB9A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Comparo datos cualitativos y cuantitativos del enlace iónico y del préstamo o presupuesto, señalando en qué se parecen y en qué se diferencian.</w:t>
            </w:r>
          </w:p>
          <w:p w14:paraId="512700B8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Identifico qué causa qué y qué patrones se repiten en ambos casos.</w:t>
            </w:r>
          </w:p>
          <w:p w14:paraId="64D3A034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• Contrasto mis resultados con mi hipótesis inicial y con la información científica, y escribo una conclusión que la confirme o la rechace.</w:t>
            </w:r>
          </w:p>
        </w:tc>
      </w:tr>
      <w:tr w14:paraId="1B35F5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AA4C">
            <w:pPr>
              <w:spacing w:after="30"/>
            </w:pPr>
            <w:r>
              <w:rPr>
                <w:b/>
                <w:bCs/>
              </w:rPr>
              <w:t xml:space="preserve">Desarrollo </w:t>
            </w:r>
            <w:r>
              <w:rPr>
                <w:b/>
                <w:bCs/>
                <w:color w:val="4C4C4C"/>
                <w:sz w:val="20"/>
                <w:szCs w:val="20"/>
              </w:rPr>
              <w:t xml:space="preserve"> (60 min)</w:t>
            </w:r>
          </w:p>
        </w:tc>
      </w:tr>
      <w:tr w14:paraId="5A12A6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F374">
            <w:pPr>
              <w:spacing w:before="30" w:after="30"/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4631055</wp:posOffset>
                  </wp:positionH>
                  <wp:positionV relativeFrom="paragraph">
                    <wp:posOffset>13970</wp:posOffset>
                  </wp:positionV>
                  <wp:extent cx="752475" cy="752475"/>
                  <wp:effectExtent l="0" t="0" r="9525" b="9525"/>
                  <wp:wrapSquare wrapText="bothSides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4C4C4C"/>
                <w:sz w:val="20"/>
                <w:szCs w:val="20"/>
              </w:rPr>
              <w:t>1. Planteamiento del problema (8 min)</w:t>
            </w:r>
          </w:p>
          <w:p w14:paraId="34C19FA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Retomamos la pregunta del inicio: ¿en qué se parece ceder electrones a ceder dinero?</w:t>
            </w:r>
          </w:p>
          <w:p w14:paraId="0317975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se cede, qué se gana y qué queda al final en cada caso?</w:t>
            </w:r>
          </w:p>
          <w:p w14:paraId="3B151F13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relación existe entre lo cedido y lo ganado?</w:t>
            </w:r>
          </w:p>
          <w:p w14:paraId="5D8587F1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¿En qué se diferencian el enlace iónico y un préstamo?</w:t>
            </w:r>
            <w:r>
              <w:t xml:space="preserve"> </w:t>
            </w:r>
          </w:p>
          <w:p w14:paraId="66BD1CD6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2. Planteamiento de hipótesis (8 min)</w:t>
            </w:r>
          </w:p>
          <w:p w14:paraId="00083A5A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Cada equipo escribe su respuesta tentativa en una tarjeta:</w:t>
            </w:r>
          </w:p>
          <w:p w14:paraId="56B344CB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Observo que… porque…</w:t>
            </w:r>
          </w:p>
          <w:p w14:paraId="3662FF22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Si comparo ambas situaciones, entonces…</w:t>
            </w:r>
          </w:p>
          <w:p w14:paraId="0EE2853C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Ejemplos: «El metal cede electrones igual que quien presta dinero, porque ambos entregan algo que otro necesita». «El enlace iónico es permanente y el préstamo temporal, porque el dinero debe devolverse y el electrón no».</w:t>
            </w:r>
          </w:p>
          <w:p w14:paraId="231E0605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3. Plan de acción (10 min)</w:t>
            </w:r>
          </w:p>
          <w:p w14:paraId="51D9C2A2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Elegir 2 compuestos iónicos (NaCl, MgO) y 1 caso financiero familiar.</w:t>
            </w:r>
          </w:p>
          <w:p w14:paraId="2A0CB25F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Definir qué datos cualitativos y cuantitativos registrar.</w:t>
            </w:r>
          </w:p>
          <w:p w14:paraId="4423A11B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Construir un cuadro de doble entrada: cede / gana / queda / permanencia.</w:t>
            </w:r>
          </w:p>
          <w:p w14:paraId="25E8644C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Alternativas: comparar con una tabla periódica; usar una balanza o calculadora para los montos.</w:t>
            </w:r>
          </w:p>
          <w:p w14:paraId="5F5C8921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4. Recojo y análisis de datos (15 min)</w:t>
            </w:r>
          </w:p>
          <w:p w14:paraId="7C05A8CD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Instrumento: cuadro comparativo de cuatro columnas.</w:t>
            </w:r>
          </w:p>
          <w:p w14:paraId="0029BD4F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Columna 1: situación (enlace / préstamo).</w:t>
            </w:r>
          </w:p>
          <w:p w14:paraId="5C50247D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Columna 2: quién cede y cuánto.</w:t>
            </w:r>
          </w:p>
          <w:p w14:paraId="0994B05F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Columna 3: quién gana y cuánto.</w:t>
            </w:r>
          </w:p>
          <w:p w14:paraId="283EF006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Columna 4: ¿permanece o se devuelve?</w:t>
            </w:r>
          </w:p>
          <w:p w14:paraId="118AE2E9">
            <w:pPr>
              <w:spacing w:before="30" w:after="30"/>
            </w:pPr>
            <w:r>
              <w:rPr>
                <w:color w:val="4C4C4C"/>
                <w:sz w:val="20"/>
                <w:szCs w:val="20"/>
              </w:rPr>
              <w:t>Simulación: NaCl cede 1 electrón y el cloro lo gana; en el préstamo, la familia cede S/200 y los recupera en 4 cuotas de S/50. Al llenar el cuadro, los estudiantes identifican la regularidad: a cada cesión corresponde una ganancia.</w:t>
            </w:r>
            <w:r>
              <w:t xml:space="preserve"> </w:t>
            </w:r>
          </w:p>
          <w:p w14:paraId="182FB81F">
            <w:pPr>
              <w:spacing w:before="30" w:after="30"/>
              <w:jc w:val="center"/>
            </w:pPr>
          </w:p>
          <w:p w14:paraId="79B74EEE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5. Estructuración del saber (10 min)</w:t>
            </w:r>
          </w:p>
          <w:p w14:paraId="085C0038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Contrastan hipótesis con resultados usando:</w:t>
            </w:r>
          </w:p>
          <w:p w14:paraId="4C810C48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Tabla «hipótesis / evidencia / ¿se confirma?».</w:t>
            </w:r>
          </w:p>
          <w:p w14:paraId="0DC0F8E1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Lista de cotejo con los criterios: causalidad, correspondencia, diferencia.</w:t>
            </w:r>
          </w:p>
          <w:p w14:paraId="3F189798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6. Evaluación y comunicación (9 min)</w:t>
            </w:r>
          </w:p>
          <w:p w14:paraId="2D7C837A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Un representante por equipo explica qué dificultad tuvo (por ejemplo, confundir permanencia con temporalidad), cómo la resolvió y defiende su conclusión con la información científica sobre enlace iónico.</w:t>
            </w:r>
          </w:p>
          <w:p w14:paraId="1CCCB052">
            <w:pPr>
              <w:spacing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Escalera de Wilson (preguntas de metacognición)</w:t>
            </w:r>
          </w:p>
          <w:p w14:paraId="7394FAD3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Clarificar:</w:t>
            </w:r>
            <w:r>
              <w:rPr>
                <w:color w:val="4C4C4C"/>
                <w:sz w:val="20"/>
                <w:szCs w:val="20"/>
              </w:rPr>
              <w:t xml:space="preserve"> ¿Qué te llevó a decir que el enlace es permanente y el préstamo no? ¿Puedes explicar con más detalle cómo llenaste la columna «queda»?</w:t>
            </w:r>
          </w:p>
          <w:p w14:paraId="356763F8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Valorar:</w:t>
            </w:r>
            <w:r>
              <w:rPr>
                <w:color w:val="4C4C4C"/>
                <w:sz w:val="20"/>
                <w:szCs w:val="20"/>
              </w:rPr>
              <w:t xml:space="preserve"> ¿Qué fortaleza mostró tu equipo al comparar datos cualitativos y cuantitativos? ¿Cómo aplicaste lo que sabías del enlace iónico?</w:t>
            </w:r>
          </w:p>
          <w:p w14:paraId="5A72E98C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Inquietudes:</w:t>
            </w:r>
            <w:r>
              <w:rPr>
                <w:color w:val="4C4C4C"/>
                <w:sz w:val="20"/>
                <w:szCs w:val="20"/>
              </w:rPr>
              <w:t xml:space="preserve"> ¿Qué punto te generó duda al contrastar tu hipótesis? ¿Qué te gustaría profundizar sobre enlaces o sobre préstamos?</w:t>
            </w:r>
          </w:p>
          <w:p w14:paraId="10A30C11">
            <w:pPr>
              <w:spacing w:before="0" w:beforeAutospacing="0" w:after="0"/>
              <w:rPr>
                <w:b/>
                <w:bCs/>
              </w:rPr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Sugerencias:</w:t>
            </w:r>
            <w:r>
              <w:rPr>
                <w:color w:val="4C4C4C"/>
                <w:sz w:val="20"/>
                <w:szCs w:val="20"/>
              </w:rPr>
              <w:t xml:space="preserve"> ¿Qué recurso te ayudaría a mejorar tu cuadro comparativo? ¿Cómo aplicarías esta forma de comparar en otras situaciones de tu vida?</w:t>
            </w:r>
          </w:p>
        </w:tc>
      </w:tr>
      <w:tr w14:paraId="6CBC60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751C">
            <w:p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 xml:space="preserve">Cierre </w:t>
            </w:r>
          </w:p>
        </w:tc>
      </w:tr>
      <w:tr w14:paraId="68EE09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9DF7C">
            <w:pPr>
              <w:spacing w:before="30" w:after="30"/>
              <w:ind w:left="360"/>
            </w:pPr>
            <w:r>
              <w:rPr>
                <w:color w:val="4C4C4C"/>
                <w:sz w:val="20"/>
                <w:szCs w:val="20"/>
              </w:rPr>
              <w:t>• ¿Qué te llevó a decir que el enlace es permanente y el préstamo no?</w:t>
            </w:r>
          </w:p>
          <w:p w14:paraId="074F52B9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dato fue más útil: el cualitativo o el cuantitativo? ¿Por qué?</w:t>
            </w:r>
          </w:p>
          <w:p w14:paraId="09252FF1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¿En qué se rompe la comparación entre enlace iónico y préstamo?</w:t>
            </w:r>
          </w:p>
          <w:p w14:paraId="40932B39">
            <w:pPr>
              <w:spacing w:before="0" w:beforeAutospacing="0" w:after="0"/>
              <w:ind w:left="360"/>
            </w:pPr>
          </w:p>
        </w:tc>
      </w:tr>
      <w:tr w14:paraId="48C8C9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0D930">
            <w:p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>IV. EVALUACION</w:t>
            </w:r>
          </w:p>
        </w:tc>
      </w:tr>
      <w:tr w14:paraId="2C2B2D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5BD8E">
            <w:pPr>
              <w:pStyle w:val="9"/>
              <w:numPr>
                <w:ilvl w:val="0"/>
                <w:numId w:val="2"/>
              </w:num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>FINALIDAD= formativa</w:t>
            </w:r>
          </w:p>
          <w:p w14:paraId="312DC38D">
            <w:pPr>
              <w:pStyle w:val="9"/>
              <w:numPr>
                <w:ilvl w:val="0"/>
                <w:numId w:val="2"/>
              </w:num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>PRODUCTO:E</w:t>
            </w:r>
            <w:r>
              <w:rPr>
                <w:color w:val="4C4C4C"/>
                <w:sz w:val="20"/>
                <w:szCs w:val="20"/>
              </w:rPr>
              <w:t>labora un cuadro comparativo en el que contrasta los datos cualitativos y cuantitativos de la formación del enlace iónico (cesión y ganancia de electrones) con una situación de educación financiera (préstamo o presupuesto familiar), identificando relaciones de causalidad, correspondencia y diferencia, regularidades o tendencias,</w:t>
            </w:r>
          </w:p>
          <w:p w14:paraId="616CF621">
            <w:pPr>
              <w:pStyle w:val="9"/>
              <w:numPr>
                <w:ilvl w:val="0"/>
                <w:numId w:val="2"/>
              </w:num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>INSTRUMENTO= lista de cotejo</w:t>
            </w:r>
            <w:r>
              <w:rPr>
                <w:rFonts w:ascii="Arial" w:hAnsi="Arial" w:eastAsia="Calibri" w:cs="Arial"/>
                <w:b/>
                <w:bCs/>
              </w:rPr>
              <w:tab/>
            </w:r>
          </w:p>
        </w:tc>
      </w:tr>
      <w:tr w14:paraId="67F9C3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757C">
            <w:pPr>
              <w:spacing w:after="0"/>
              <w:rPr>
                <w:rFonts w:ascii="Arial" w:hAnsi="Arial" w:eastAsia="Calibri" w:cs="Arial"/>
                <w:b/>
                <w:bCs/>
              </w:rPr>
            </w:pPr>
            <w:r>
              <w:rPr>
                <w:rFonts w:ascii="Arial" w:hAnsi="Arial" w:eastAsia="Calibri" w:cs="Arial"/>
                <w:b/>
                <w:bCs/>
              </w:rPr>
              <w:t>V. MATERIALES O RECURSOS A UTILIZAR</w:t>
            </w:r>
          </w:p>
        </w:tc>
      </w:tr>
      <w:tr w14:paraId="500E22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9071" w:type="dxa"/>
            <w:tcBorders>
              <w:top w:val="single" w:color="666666" w:sz="4" w:space="0"/>
              <w:left w:val="single" w:color="666666" w:sz="4" w:space="0"/>
              <w:bottom w:val="single" w:color="666666" w:sz="4" w:space="0"/>
              <w:right w:val="single" w:color="666666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B679">
            <w:pPr>
              <w:pStyle w:val="9"/>
              <w:numPr>
                <w:ilvl w:val="0"/>
                <w:numId w:val="3"/>
              </w:numPr>
              <w:spacing w:after="0"/>
            </w:pPr>
            <w:r>
              <w:rPr>
                <w:rFonts w:ascii="Arial" w:hAnsi="Arial" w:eastAsia="Calibri" w:cs="Arial"/>
                <w:b/>
                <w:bCs/>
              </w:rPr>
              <w:t>Texto, Lapicero, papelotes, proyector, laptop,  plumones, parlantes. Fotocopias</w:t>
            </w:r>
          </w:p>
        </w:tc>
      </w:tr>
    </w:tbl>
    <w:p w14:paraId="494DE9DB">
      <w:p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</w:t>
      </w:r>
    </w:p>
    <w:p w14:paraId="4D11453C">
      <w:p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                                                                                     ____________________                                                          __________________</w:t>
      </w:r>
    </w:p>
    <w:p w14:paraId="2A99DDFF">
      <w:pPr>
        <w:ind w:right="-852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Docente                                                                                      V.B Coordinación.</w:t>
      </w:r>
    </w:p>
    <w:p w14:paraId="6BE65940">
      <w:r>
        <w:t xml:space="preserve"> </w:t>
      </w:r>
    </w:p>
    <w:p w14:paraId="7EFACF60">
      <w:r>
        <w:t xml:space="preserve"> </w:t>
      </w:r>
    </w:p>
    <w:p w14:paraId="0E447C7A"/>
    <w:p w14:paraId="41AE9D02"/>
    <w:p w14:paraId="5F460078"/>
    <w:p w14:paraId="0886BB33"/>
    <w:p w14:paraId="273BAD4F"/>
    <w:p w14:paraId="0C7708B0"/>
    <w:p w14:paraId="54DABBF9"/>
    <w:p w14:paraId="76F2A210">
      <w:r>
        <w:t xml:space="preserve"> </w:t>
      </w:r>
    </w:p>
    <w:tbl>
      <w:tblPr>
        <w:tblStyle w:val="4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66"/>
      </w:tblGrid>
      <w:tr w14:paraId="6862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F4060"/>
            <w:vAlign w:val="center"/>
          </w:tcPr>
          <w:p w14:paraId="0E72E25E">
            <w:pPr>
              <w:spacing w:before="80" w:after="80"/>
            </w:pPr>
            <w:r>
              <w:rPr>
                <w:b/>
                <w:bCs/>
                <w:color w:val="FFFFFF"/>
              </w:rPr>
              <w:t>V. FICHA DE APRENDIZAJE</w:t>
            </w:r>
          </w:p>
        </w:tc>
      </w:tr>
      <w:tr w14:paraId="285F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A3136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Título de la actividad 1: Del electrón al billete: comparo datos y encuentro patrones</w:t>
            </w:r>
          </w:p>
          <w:p w14:paraId="7F5B494C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Competencias a trabajar:</w:t>
            </w:r>
            <w:r>
              <w:rPr>
                <w:color w:val="4C4C4C"/>
                <w:sz w:val="20"/>
                <w:szCs w:val="20"/>
              </w:rPr>
              <w:t xml:space="preserve"> Indaga mediante métodos científicos.</w:t>
            </w:r>
          </w:p>
          <w:p w14:paraId="6C17EE81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Lee estos datos de la sesión y respóndelas:</w:t>
            </w:r>
          </w:p>
          <w:p w14:paraId="6D25BB7A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NaCl: el sodio cede 1 electrón; el cloro gana 1. Quedan unidos de forma permanente.</w:t>
            </w:r>
          </w:p>
          <w:p w14:paraId="5B9637D2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MgO: el magnesio cede 2 electrones; el oxígeno gana 2. Quedan unidos de forma permanente.</w:t>
            </w:r>
          </w:p>
          <w:p w14:paraId="2CE860E9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Préstamo familiar: Ana presta S/ 200 a su hermano; él se compromete a devolverlos en 3 meses.</w:t>
            </w:r>
          </w:p>
          <w:p w14:paraId="69DA9A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Presupuesto: la familia gana S/ 1500 y gasta S/ 1200; quedan S/ 300 ahorrados cada mes.</w:t>
            </w:r>
          </w:p>
          <w:p w14:paraId="0266ABEC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Responde:</w:t>
            </w:r>
          </w:p>
          <w:p w14:paraId="37DE3AC7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relación de causalidad observas entre lo que se cede y lo que se gana en cada caso?</w:t>
            </w:r>
          </w:p>
          <w:p w14:paraId="6381A70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regularidad o tendencia se repite en el enlace iónico y cuál en el caso financiero?</w:t>
            </w:r>
          </w:p>
          <w:p w14:paraId="7FF2AEDB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Escribe una diferencia clave entre el enlace iónico y el préstamo.</w:t>
            </w:r>
          </w:p>
          <w:p w14:paraId="38E7003F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¿Tu hipótesis inicial se confirma o se refuta? Justifica con la información científica.</w:t>
            </w:r>
          </w:p>
          <w:p w14:paraId="1101470F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Título de la actividad 2: Diseño mi conclusión con evidencia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b/>
                <w:bCs/>
                <w:color w:val="4C4C4C"/>
                <w:sz w:val="20"/>
                <w:szCs w:val="20"/>
              </w:rPr>
              <w:t>Competencias a trabajar:</w:t>
            </w:r>
            <w:r>
              <w:rPr>
                <w:color w:val="4C4C4C"/>
                <w:sz w:val="20"/>
                <w:szCs w:val="20"/>
              </w:rPr>
              <w:t xml:space="preserve"> Indaga mediante métodos científicos.</w:t>
            </w:r>
          </w:p>
          <w:p w14:paraId="790FB993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Organiza tus hallazgos en un cuadro comparativo (cede / gana / queda / permanencia) entre un enlace iónico y un caso financiero real de tu familia. Luego redacta una conclusión de 5 líneas que:</w:t>
            </w:r>
          </w:p>
          <w:p w14:paraId="6B4F4645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Compare un dato cualitativo (ej. "el metal cede electrones") y uno cuantitativo (ej. "cede 2 electrones" o "presta S/ 200").</w:t>
            </w:r>
          </w:p>
          <w:p w14:paraId="5B47A74C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Señale una correspondencia y una diferencia entre ambos casos.</w:t>
            </w:r>
          </w:p>
          <w:p w14:paraId="374ACCA8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Indique si tu hipótesis se confirma o refuta, citando la información científica sobre enlace iónico.</w:t>
            </w:r>
          </w:p>
          <w:p w14:paraId="4B9A16BB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Respuestas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b/>
                <w:bCs/>
                <w:color w:val="4C4C4C"/>
                <w:sz w:val="20"/>
                <w:szCs w:val="20"/>
              </w:rPr>
              <w:t>Actividad 1:</w:t>
            </w:r>
          </w:p>
          <w:p w14:paraId="7166EBA2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Causalidad: quien cede (metal o prestamista) entrega algo que el otro necesita; eso genera la unión o el compromiso.</w:t>
            </w:r>
          </w:p>
          <w:p w14:paraId="146A8EA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Regularidad enlace iónico: lo cedido siempre iguala lo ganado (1-1, 2-2) y la unión es permanente. En lo financiero: lo prestado debe devolverse, la relación es temporal.</w:t>
            </w:r>
          </w:p>
          <w:p w14:paraId="56F0612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Diferencia: el electrón no se devuelve (unión permanente); el dinero sí se devuelve (compromiso temporal).</w:t>
            </w:r>
          </w:p>
          <w:p w14:paraId="5ECD15D9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Se confirma si el equipo planteó que ambos implican ceder y ganar; se refuta si afirmó que eran idénticos, pues el enlace es permanente y el préstamo temporal.</w:t>
            </w:r>
          </w:p>
          <w:p w14:paraId="47EE9F3B">
            <w:pPr>
              <w:spacing w:before="0" w:beforeAutospacing="0" w:after="0"/>
              <w:rPr>
                <w:rFonts w:hint="default"/>
                <w:lang w:val="es-ES"/>
              </w:rPr>
            </w:pPr>
            <w:r>
              <w:rPr>
                <w:b/>
                <w:bCs/>
                <w:color w:val="4C4C4C"/>
                <w:sz w:val="20"/>
                <w:szCs w:val="20"/>
              </w:rPr>
              <w:t>Actividad 2:</w:t>
            </w:r>
            <w:r>
              <w:rPr>
                <w:color w:val="4C4C4C"/>
                <w:sz w:val="20"/>
                <w:szCs w:val="20"/>
              </w:rPr>
              <w:t xml:space="preserve"> Se espera un cuadro con datos cualitativos y cuantitativos, y una conclusión que contraste ambos casos, use información científica (cesión/ganancia de electrones) y confirme o refute la hipótesis con argumentos.</w:t>
            </w:r>
            <w:bookmarkStart w:id="0" w:name="_GoBack"/>
            <w:bookmarkEnd w:id="0"/>
          </w:p>
        </w:tc>
      </w:tr>
    </w:tbl>
    <w:p w14:paraId="5C2F4E5E">
      <w:pPr>
        <w:spacing w:after="120"/>
        <w:jc w:val="center"/>
      </w:pPr>
      <w:r>
        <w:rPr>
          <w:b/>
          <w:bCs/>
          <w:color w:val="FF6768"/>
          <w:sz w:val="28"/>
          <w:szCs w:val="28"/>
        </w:rPr>
        <w:t>LISTA DE COTEJO</w:t>
      </w:r>
    </w:p>
    <w:p w14:paraId="1DDE5726">
      <w:pPr>
        <w:pStyle w:val="2"/>
        <w:spacing w:after="300"/>
        <w:jc w:val="center"/>
        <w:rPr>
          <w:b/>
          <w:bCs/>
          <w:kern w:val="36"/>
        </w:rPr>
      </w:pPr>
      <w:r>
        <w:rPr>
          <w:b/>
          <w:bCs/>
          <w:color w:val="1F1F1F"/>
          <w:kern w:val="36"/>
          <w:sz w:val="24"/>
          <w:szCs w:val="24"/>
        </w:rPr>
        <w:t>EL ENLACE IONICO APLICANDO A LA EDUCACION FINANCIERA</w:t>
      </w:r>
    </w:p>
    <w:tbl>
      <w:tblPr>
        <w:tblStyle w:val="4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7"/>
        <w:gridCol w:w="5442"/>
        <w:gridCol w:w="1047"/>
        <w:gridCol w:w="1047"/>
        <w:gridCol w:w="2093"/>
      </w:tblGrid>
      <w:tr w14:paraId="47FE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3F0"/>
            <w:vAlign w:val="center"/>
          </w:tcPr>
          <w:p w14:paraId="75C20EF7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N°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3F0"/>
            <w:vAlign w:val="center"/>
          </w:tcPr>
          <w:p w14:paraId="30C5027B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Criterio de evaluación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3F0"/>
            <w:vAlign w:val="center"/>
          </w:tcPr>
          <w:p w14:paraId="10FD0021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Sí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3F0"/>
            <w:vAlign w:val="center"/>
          </w:tcPr>
          <w:p w14:paraId="54FAA47D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No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5F3F0"/>
            <w:vAlign w:val="center"/>
          </w:tcPr>
          <w:p w14:paraId="2E853996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Observación</w:t>
            </w:r>
          </w:p>
        </w:tc>
      </w:tr>
      <w:tr w14:paraId="0DF0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C5C4A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1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D560E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Registra en el cuadro comparativo los datos cualitativos y cuantitativos del enlace iónico y de la situación financiera (quién cede, quién gana, cuánto y qué permanece)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B2264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31ED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3B12B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2099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60F36599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2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748D9890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Identifica al menos una relación de causalidad que explica qué provoca la unión entre las partes en el enlace iónico y en el préstamo o presupuesto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7722C16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0B6348D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7AEE3CA3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3BA3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C9A19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3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0745E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Establece la relación de correspondencia entre lo cedido y lo ganado en ambos casos (a cada electrón cedido uno ganado; a cada monto prestado una cuota devuelta)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D1856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B5B28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4E50D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05A7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186986DB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4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2367422C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Señala al menos una diferencia entre el enlace iónico y la situación financiera, distinguiendo la permanencia del enlace frente a la temporalidad del préstamo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4B6257D1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16CFD1DB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3DB28BBC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0244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F9B71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5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AF353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Identifica la regularidad o tendencia de que a cada cesión corresponde una ganancia en los datos comparados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5969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FC83F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1F01B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3395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2C14F8BE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6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3B976923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Contrasta los resultados obtenidos con su hipótesis inicial usando la tabla «hipótesis / evidencia / ¿se confirma?»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3AA926ED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06472951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7308CC62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6EAF6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5A058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7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0B76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Contrasta sus resultados con la información científica sobre enlace iónico (cesión y ganancia de electrones, atracción de cargas opuestas, compuesto neutro)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59040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BADC1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5C266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78DB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5AAE24BC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8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65C4266C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Elabora una conclusión escrita que confirma o refuta su hipótesis sustentándose en la evidencia recogida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3102ED2E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5851BF6C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FAFA"/>
            <w:vAlign w:val="center"/>
          </w:tcPr>
          <w:p w14:paraId="53297789">
            <w:pPr>
              <w:spacing w:before="40" w:after="40"/>
              <w:rPr>
                <w:sz w:val="18"/>
                <w:szCs w:val="18"/>
              </w:rPr>
            </w:pPr>
          </w:p>
        </w:tc>
      </w:tr>
      <w:tr w14:paraId="72D2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6B811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9</w:t>
            </w:r>
          </w:p>
        </w:tc>
        <w:tc>
          <w:tcPr>
            <w:tcW w:w="5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01F25">
            <w:pPr>
              <w:spacing w:before="40" w:after="40"/>
              <w:rPr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Explica en qué punto la comparación entre el enlace iónico y el préstamo se rompe o deja de ser válida, usando los datos analizados</w:t>
            </w: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7A667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C710">
            <w:pPr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C7E36">
            <w:pPr>
              <w:spacing w:before="40" w:after="40"/>
              <w:rPr>
                <w:sz w:val="18"/>
                <w:szCs w:val="18"/>
              </w:rPr>
            </w:pPr>
          </w:p>
        </w:tc>
      </w:tr>
    </w:tbl>
    <w:p w14:paraId="2125593E"/>
    <w:sectPr>
      <w:pgSz w:w="11906" w:h="16838"/>
      <w:pgMar w:top="568" w:right="1701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Nunito">
    <w:altName w:val="Segoe Print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D1E98"/>
    <w:multiLevelType w:val="multilevel"/>
    <w:tmpl w:val="1A9D1E98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72F3FBB"/>
    <w:multiLevelType w:val="multilevel"/>
    <w:tmpl w:val="372F3FBB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37E732E"/>
    <w:multiLevelType w:val="multilevel"/>
    <w:tmpl w:val="737E732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1.%2."/>
      <w:lvlJc w:val="left"/>
      <w:pPr>
        <w:ind w:left="1069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AC"/>
    <w:rsid w:val="00351F46"/>
    <w:rsid w:val="00372A37"/>
    <w:rsid w:val="008F3C0B"/>
    <w:rsid w:val="00B867FE"/>
    <w:rsid w:val="00CE1DAC"/>
    <w:rsid w:val="1EE2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before="100" w:beforeAutospacing="1" w:after="160" w:line="240" w:lineRule="auto"/>
      <w:textAlignment w:val="baseline"/>
    </w:pPr>
    <w:rPr>
      <w:rFonts w:ascii="Calibri" w:hAnsi="Calibri" w:eastAsia="Times New Roman" w:cs="Times New Roman"/>
      <w:sz w:val="22"/>
      <w:szCs w:val="22"/>
      <w:lang w:val="es-PE" w:eastAsia="es-PE" w:bidi="ar-SA"/>
    </w:rPr>
  </w:style>
  <w:style w:type="paragraph" w:styleId="2">
    <w:name w:val="heading 1"/>
    <w:basedOn w:val="1"/>
    <w:next w:val="1"/>
    <w:link w:val="10"/>
    <w:qFormat/>
    <w:uiPriority w:val="99"/>
    <w:pPr>
      <w:suppressAutoHyphens w:val="0"/>
      <w:spacing w:before="0" w:beforeAutospacing="0" w:after="0"/>
      <w:textAlignment w:val="auto"/>
      <w:outlineLvl w:val="0"/>
    </w:pPr>
    <w:rPr>
      <w:rFonts w:cs="Calibri"/>
      <w:color w:val="2E74B5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8"/>
    <w:semiHidden/>
    <w:unhideWhenUsed/>
    <w:uiPriority w:val="99"/>
    <w:pPr>
      <w:tabs>
        <w:tab w:val="center" w:pos="4252"/>
        <w:tab w:val="right" w:pos="8504"/>
      </w:tabs>
      <w:spacing w:after="0"/>
    </w:pPr>
    <w:rPr>
      <w:rFonts w:ascii="Times New Roman" w:hAnsi="Times New Roman"/>
      <w:sz w:val="24"/>
      <w:szCs w:val="24"/>
    </w:rPr>
  </w:style>
  <w:style w:type="paragraph" w:styleId="6">
    <w:name w:val="Normal (Web)"/>
    <w:basedOn w:val="1"/>
    <w:semiHidden/>
    <w:unhideWhenUsed/>
    <w:qFormat/>
    <w:uiPriority w:val="99"/>
    <w:pPr>
      <w:suppressAutoHyphens w:val="0"/>
      <w:spacing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7">
    <w:name w:val="No Spacing"/>
    <w:basedOn w:val="1"/>
    <w:qFormat/>
    <w:uiPriority w:val="0"/>
    <w:pPr>
      <w:spacing w:after="0"/>
    </w:pPr>
  </w:style>
  <w:style w:type="character" w:customStyle="1" w:styleId="8">
    <w:name w:val="Encabezado Car"/>
    <w:basedOn w:val="3"/>
    <w:link w:val="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es-PE"/>
    </w:rPr>
  </w:style>
  <w:style w:type="paragraph" w:customStyle="1" w:styleId="9">
    <w:name w:val="List Paragraph2"/>
    <w:basedOn w:val="1"/>
    <w:qFormat/>
    <w:uiPriority w:val="0"/>
    <w:pPr>
      <w:ind w:left="720"/>
    </w:pPr>
  </w:style>
  <w:style w:type="character" w:customStyle="1" w:styleId="10">
    <w:name w:val="Título 1 Car"/>
    <w:basedOn w:val="3"/>
    <w:link w:val="2"/>
    <w:qFormat/>
    <w:uiPriority w:val="99"/>
    <w:rPr>
      <w:rFonts w:ascii="Calibri" w:hAnsi="Calibri" w:eastAsia="Times New Roman" w:cs="Calibri"/>
      <w:color w:val="2E74B5"/>
      <w:sz w:val="32"/>
      <w:szCs w:val="32"/>
      <w:lang w:eastAsia="es-P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2013</Words>
  <Characters>10744</Characters>
  <Lines>92</Lines>
  <Paragraphs>26</Paragraphs>
  <TotalTime>61</TotalTime>
  <ScaleCrop>false</ScaleCrop>
  <LinksUpToDate>false</LinksUpToDate>
  <CharactersWithSpaces>12863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2026-10-05T01:56:00Z</dcterms:created>
  <dc:creator>Usuario</dc:creator>
  <cp:lastModifiedBy>Dani Lop</cp:lastModifiedBy>
  <dcterms:modified xsi:type="dcterms:W3CDTF">2026-10-05T03:06:42Z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eyJoZGlkIjoiNjg0NDc2NTdlOWMyNDRhOTA5YTcwMDk3YzEwZWY1NmYiLCJ1c2VySWQiOiIyNDkxODA1OTY4MjUwIn0=</vt:lpwstr>
  </property>
  <property fmtid="{D5CDD505-2E9C-101B-9397-08002B2CF9AE}" pid="3" name="KSOProductBuildVer">
    <vt:lpwstr>3082-12.1.0.28485</vt:lpwstr>
  </property>
  <property fmtid="{D5CDD505-2E9C-101B-9397-08002B2CF9AE}" pid="4" name="ICV">
    <vt:lpwstr>5F14B1EF2C1E4B8C845E89B6023D082E_12</vt:lpwstr>
  </property>
</Properties>
</file>