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ACEAB" w14:textId="77777777" w:rsidR="00A12206" w:rsidRDefault="00A12206" w:rsidP="00A12206">
      <w:pPr>
        <w:spacing w:after="0" w:line="240" w:lineRule="auto"/>
        <w:ind w:firstLine="0"/>
        <w:jc w:val="center"/>
        <w:outlineLvl w:val="0"/>
        <w:rPr>
          <w:rFonts w:asciiTheme="minorHAnsi" w:eastAsia="Times New Roman" w:hAnsiTheme="minorHAnsi" w:cstheme="minorHAnsi"/>
          <w:b/>
          <w:bCs/>
          <w:kern w:val="36"/>
          <w:sz w:val="22"/>
          <w:lang w:eastAsia="es-PE"/>
        </w:rPr>
      </w:pPr>
      <w:r w:rsidRPr="00283960">
        <w:rPr>
          <w:rFonts w:asciiTheme="minorHAnsi" w:eastAsia="Times New Roman" w:hAnsiTheme="minorHAnsi" w:cstheme="minorHAnsi"/>
          <w:b/>
          <w:bCs/>
          <w:kern w:val="36"/>
          <w:sz w:val="22"/>
          <w:lang w:eastAsia="es-PE"/>
        </w:rPr>
        <w:t xml:space="preserve">SESIÓN DE APRENDIZAJE </w:t>
      </w:r>
      <w:proofErr w:type="spellStart"/>
      <w:r w:rsidRPr="00283960">
        <w:rPr>
          <w:rFonts w:asciiTheme="minorHAnsi" w:eastAsia="Times New Roman" w:hAnsiTheme="minorHAnsi" w:cstheme="minorHAnsi"/>
          <w:b/>
          <w:bCs/>
          <w:kern w:val="36"/>
          <w:sz w:val="22"/>
          <w:lang w:eastAsia="es-PE"/>
        </w:rPr>
        <w:t>N°</w:t>
      </w:r>
      <w:proofErr w:type="spellEnd"/>
      <w:r w:rsidRPr="00283960">
        <w:rPr>
          <w:rFonts w:asciiTheme="minorHAnsi" w:eastAsia="Times New Roman" w:hAnsiTheme="minorHAnsi" w:cstheme="minorHAnsi"/>
          <w:b/>
          <w:bCs/>
          <w:kern w:val="36"/>
          <w:sz w:val="22"/>
          <w:lang w:eastAsia="es-PE"/>
        </w:rPr>
        <w:t xml:space="preserve"> </w:t>
      </w:r>
      <w:r>
        <w:rPr>
          <w:rFonts w:asciiTheme="minorHAnsi" w:eastAsia="Times New Roman" w:hAnsiTheme="minorHAnsi" w:cstheme="minorHAnsi"/>
          <w:b/>
          <w:bCs/>
          <w:kern w:val="36"/>
          <w:sz w:val="22"/>
          <w:lang w:eastAsia="es-PE"/>
        </w:rPr>
        <w:t>6</w:t>
      </w:r>
      <w:r w:rsidRPr="00283960">
        <w:rPr>
          <w:rFonts w:asciiTheme="minorHAnsi" w:eastAsia="Times New Roman" w:hAnsiTheme="minorHAnsi" w:cstheme="minorHAnsi"/>
          <w:b/>
          <w:bCs/>
          <w:kern w:val="36"/>
          <w:sz w:val="22"/>
          <w:lang w:eastAsia="es-PE"/>
        </w:rPr>
        <w:t>.</w:t>
      </w:r>
    </w:p>
    <w:p w14:paraId="5A7768FC" w14:textId="77777777" w:rsidR="00A12206" w:rsidRPr="00DD669E" w:rsidRDefault="00A12206" w:rsidP="00A12206">
      <w:pPr>
        <w:spacing w:after="0" w:line="240" w:lineRule="auto"/>
        <w:ind w:firstLine="0"/>
        <w:outlineLvl w:val="0"/>
        <w:rPr>
          <w:rFonts w:asciiTheme="minorHAnsi" w:eastAsia="Times New Roman" w:hAnsiTheme="minorHAnsi" w:cstheme="minorHAnsi"/>
          <w:b/>
          <w:bCs/>
          <w:kern w:val="36"/>
          <w:sz w:val="22"/>
          <w:lang w:eastAsia="es-PE"/>
        </w:rPr>
      </w:pPr>
      <w:r>
        <w:rPr>
          <w:rFonts w:asciiTheme="minorHAnsi" w:eastAsia="Times New Roman" w:hAnsiTheme="minorHAnsi" w:cstheme="minorHAnsi"/>
          <w:b/>
          <w:bCs/>
          <w:kern w:val="36"/>
          <w:sz w:val="22"/>
          <w:lang w:eastAsia="es-PE"/>
        </w:rPr>
        <w:t>TITULO:</w:t>
      </w:r>
      <w:r w:rsidRPr="00DD669E">
        <w:rPr>
          <w:rFonts w:eastAsia="Times New Roman" w:cstheme="minorHAnsi"/>
          <w:lang w:eastAsia="es-PE"/>
        </w:rPr>
        <w:t xml:space="preserve"> </w:t>
      </w:r>
      <w:r w:rsidRPr="00DD669E">
        <w:rPr>
          <w:rFonts w:asciiTheme="minorHAnsi" w:eastAsia="Times New Roman" w:hAnsiTheme="minorHAnsi" w:cstheme="minorHAnsi"/>
          <w:b/>
          <w:bCs/>
          <w:sz w:val="22"/>
          <w:lang w:eastAsia="es-PE"/>
        </w:rPr>
        <w:t>COMPRENDEMOS LOS SISTEMAS DE TRABAJO (AYNI, MINKA, MITA) Y SU FUNCIÓN SOCIAL.</w:t>
      </w:r>
    </w:p>
    <w:p w14:paraId="320376EC" w14:textId="77777777" w:rsidR="00A12206" w:rsidRPr="00283960" w:rsidRDefault="00A12206" w:rsidP="00A12206">
      <w:pPr>
        <w:spacing w:after="0" w:line="240" w:lineRule="auto"/>
        <w:ind w:firstLine="0"/>
        <w:outlineLvl w:val="1"/>
        <w:rPr>
          <w:rFonts w:asciiTheme="minorHAnsi" w:eastAsia="Times New Roman" w:hAnsiTheme="minorHAnsi" w:cstheme="minorHAnsi"/>
          <w:b/>
          <w:bCs/>
          <w:sz w:val="22"/>
          <w:lang w:eastAsia="es-PE"/>
        </w:rPr>
      </w:pPr>
      <w:r w:rsidRPr="00283960">
        <w:rPr>
          <w:rFonts w:asciiTheme="minorHAnsi" w:eastAsia="Times New Roman" w:hAnsiTheme="minorHAnsi" w:cstheme="minorHAnsi"/>
          <w:b/>
          <w:bCs/>
          <w:sz w:val="22"/>
          <w:lang w:eastAsia="es-PE"/>
        </w:rPr>
        <w:t>I. DATOS INFORMATIVOS:</w:t>
      </w:r>
    </w:p>
    <w:tbl>
      <w:tblPr>
        <w:tblW w:w="850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2CC" w:themeFill="accent4" w:themeFillTint="33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4"/>
        <w:gridCol w:w="6496"/>
      </w:tblGrid>
      <w:tr w:rsidR="00A12206" w:rsidRPr="00283960" w14:paraId="2FCDDDFB" w14:textId="77777777" w:rsidTr="00A12206">
        <w:trPr>
          <w:tblHeader/>
          <w:tblCellSpacing w:w="15" w:type="dxa"/>
        </w:trPr>
        <w:tc>
          <w:tcPr>
            <w:tcW w:w="0" w:type="auto"/>
            <w:shd w:val="clear" w:color="auto" w:fill="FFFF00"/>
            <w:vAlign w:val="center"/>
            <w:hideMark/>
          </w:tcPr>
          <w:p w14:paraId="49F5FA60" w14:textId="77777777" w:rsidR="00A12206" w:rsidRPr="00283960" w:rsidRDefault="00A12206" w:rsidP="001F709C">
            <w:pPr>
              <w:spacing w:after="0" w:line="240" w:lineRule="auto"/>
              <w:ind w:firstLine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  <w:t>Institución Educativa</w:t>
            </w:r>
          </w:p>
        </w:tc>
        <w:tc>
          <w:tcPr>
            <w:tcW w:w="6451" w:type="dxa"/>
            <w:shd w:val="clear" w:color="auto" w:fill="FFFF00"/>
            <w:vAlign w:val="center"/>
            <w:hideMark/>
          </w:tcPr>
          <w:p w14:paraId="7C930904" w14:textId="2FFC6B2E" w:rsidR="00A12206" w:rsidRPr="00283960" w:rsidRDefault="00A12206" w:rsidP="001F709C">
            <w:pPr>
              <w:spacing w:after="0" w:line="240" w:lineRule="auto"/>
              <w:ind w:firstLine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  <w:t>C</w:t>
            </w:r>
            <w:r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  <w:t>é</w:t>
            </w:r>
            <w:r w:rsidRPr="00283960"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  <w:t>sar Vallejo Mendoza</w:t>
            </w:r>
          </w:p>
        </w:tc>
      </w:tr>
      <w:tr w:rsidR="00A12206" w:rsidRPr="00283960" w14:paraId="3E7BD6D7" w14:textId="77777777" w:rsidTr="00A12206">
        <w:trPr>
          <w:tblCellSpacing w:w="15" w:type="dxa"/>
        </w:trPr>
        <w:tc>
          <w:tcPr>
            <w:tcW w:w="0" w:type="auto"/>
            <w:shd w:val="clear" w:color="auto" w:fill="FFFF00"/>
            <w:vAlign w:val="center"/>
            <w:hideMark/>
          </w:tcPr>
          <w:p w14:paraId="07C9C605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Área curricular</w:t>
            </w:r>
          </w:p>
        </w:tc>
        <w:tc>
          <w:tcPr>
            <w:tcW w:w="6451" w:type="dxa"/>
            <w:shd w:val="clear" w:color="auto" w:fill="FFFF00"/>
            <w:vAlign w:val="center"/>
            <w:hideMark/>
          </w:tcPr>
          <w:p w14:paraId="62BE6D81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Ciencias sociales</w:t>
            </w:r>
          </w:p>
        </w:tc>
      </w:tr>
      <w:tr w:rsidR="00A12206" w:rsidRPr="00283960" w14:paraId="66300B13" w14:textId="77777777" w:rsidTr="00A12206">
        <w:trPr>
          <w:tblCellSpacing w:w="15" w:type="dxa"/>
        </w:trPr>
        <w:tc>
          <w:tcPr>
            <w:tcW w:w="0" w:type="auto"/>
            <w:shd w:val="clear" w:color="auto" w:fill="FFFF00"/>
            <w:vAlign w:val="center"/>
            <w:hideMark/>
          </w:tcPr>
          <w:p w14:paraId="2FEDBBF1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Grado</w:t>
            </w:r>
          </w:p>
        </w:tc>
        <w:tc>
          <w:tcPr>
            <w:tcW w:w="6451" w:type="dxa"/>
            <w:shd w:val="clear" w:color="auto" w:fill="FFFF00"/>
            <w:vAlign w:val="center"/>
            <w:hideMark/>
          </w:tcPr>
          <w:p w14:paraId="4E4FCB1E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Segundo A</w:t>
            </w:r>
          </w:p>
        </w:tc>
      </w:tr>
      <w:tr w:rsidR="00A12206" w:rsidRPr="00283960" w14:paraId="270F6807" w14:textId="77777777" w:rsidTr="00A12206">
        <w:trPr>
          <w:tblCellSpacing w:w="15" w:type="dxa"/>
        </w:trPr>
        <w:tc>
          <w:tcPr>
            <w:tcW w:w="0" w:type="auto"/>
            <w:shd w:val="clear" w:color="auto" w:fill="FFFF00"/>
            <w:vAlign w:val="center"/>
            <w:hideMark/>
          </w:tcPr>
          <w:p w14:paraId="5C25B530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Fecha</w:t>
            </w:r>
          </w:p>
        </w:tc>
        <w:tc>
          <w:tcPr>
            <w:tcW w:w="6451" w:type="dxa"/>
            <w:shd w:val="clear" w:color="auto" w:fill="FFFF00"/>
            <w:vAlign w:val="center"/>
            <w:hideMark/>
          </w:tcPr>
          <w:p w14:paraId="2DA4D1BF" w14:textId="422C305A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Del </w:t>
            </w:r>
            <w:r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14 </w:t>
            </w: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de setiembre de 2026</w:t>
            </w:r>
          </w:p>
        </w:tc>
      </w:tr>
      <w:tr w:rsidR="00A12206" w:rsidRPr="00283960" w14:paraId="6A4D0F99" w14:textId="77777777" w:rsidTr="00A12206">
        <w:trPr>
          <w:tblCellSpacing w:w="15" w:type="dxa"/>
        </w:trPr>
        <w:tc>
          <w:tcPr>
            <w:tcW w:w="0" w:type="auto"/>
            <w:shd w:val="clear" w:color="auto" w:fill="FFFF00"/>
            <w:vAlign w:val="center"/>
            <w:hideMark/>
          </w:tcPr>
          <w:p w14:paraId="15168DA4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Duración de la sesión</w:t>
            </w:r>
          </w:p>
        </w:tc>
        <w:tc>
          <w:tcPr>
            <w:tcW w:w="6451" w:type="dxa"/>
            <w:shd w:val="clear" w:color="auto" w:fill="FFFF00"/>
            <w:vAlign w:val="center"/>
            <w:hideMark/>
          </w:tcPr>
          <w:p w14:paraId="1D448FCB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2 horas (90 minutos en total)</w:t>
            </w:r>
          </w:p>
        </w:tc>
      </w:tr>
      <w:tr w:rsidR="00A12206" w:rsidRPr="00283960" w14:paraId="5D77279D" w14:textId="77777777" w:rsidTr="00A12206">
        <w:trPr>
          <w:tblCellSpacing w:w="15" w:type="dxa"/>
        </w:trPr>
        <w:tc>
          <w:tcPr>
            <w:tcW w:w="0" w:type="auto"/>
            <w:shd w:val="clear" w:color="auto" w:fill="FFFF00"/>
            <w:vAlign w:val="center"/>
            <w:hideMark/>
          </w:tcPr>
          <w:p w14:paraId="295C4AE8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Docente</w:t>
            </w:r>
          </w:p>
        </w:tc>
        <w:tc>
          <w:tcPr>
            <w:tcW w:w="6451" w:type="dxa"/>
            <w:shd w:val="clear" w:color="auto" w:fill="FFFF00"/>
            <w:vAlign w:val="center"/>
            <w:hideMark/>
          </w:tcPr>
          <w:p w14:paraId="54B27674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Elsa Joyas Gamarra</w:t>
            </w:r>
          </w:p>
        </w:tc>
      </w:tr>
    </w:tbl>
    <w:p w14:paraId="3F37AC52" w14:textId="77777777" w:rsidR="00A12206" w:rsidRPr="00283960" w:rsidRDefault="00A12206" w:rsidP="00A12206">
      <w:pPr>
        <w:spacing w:after="0" w:line="240" w:lineRule="auto"/>
        <w:ind w:firstLine="0"/>
        <w:outlineLvl w:val="1"/>
        <w:rPr>
          <w:rFonts w:asciiTheme="minorHAnsi" w:eastAsia="Times New Roman" w:hAnsiTheme="minorHAnsi" w:cstheme="minorHAnsi"/>
          <w:b/>
          <w:bCs/>
          <w:sz w:val="22"/>
          <w:lang w:eastAsia="es-PE"/>
        </w:rPr>
      </w:pPr>
      <w:r w:rsidRPr="00283960">
        <w:rPr>
          <w:rFonts w:asciiTheme="minorHAnsi" w:eastAsia="Times New Roman" w:hAnsiTheme="minorHAnsi" w:cstheme="minorHAnsi"/>
          <w:b/>
          <w:bCs/>
          <w:sz w:val="22"/>
          <w:lang w:eastAsia="es-PE"/>
        </w:rPr>
        <w:t>II. PROPÓSITOS DE APRENDIZAJE</w:t>
      </w:r>
    </w:p>
    <w:p w14:paraId="55DA8A0C" w14:textId="77777777" w:rsidR="00A12206" w:rsidRPr="00283960" w:rsidRDefault="00A12206" w:rsidP="00A12206">
      <w:pPr>
        <w:spacing w:after="0" w:line="240" w:lineRule="auto"/>
        <w:ind w:firstLine="0"/>
        <w:outlineLvl w:val="2"/>
        <w:rPr>
          <w:rFonts w:asciiTheme="minorHAnsi" w:eastAsia="Times New Roman" w:hAnsiTheme="minorHAnsi" w:cstheme="minorHAnsi"/>
          <w:b/>
          <w:bCs/>
          <w:sz w:val="22"/>
          <w:lang w:eastAsia="es-PE"/>
        </w:rPr>
      </w:pPr>
      <w:r w:rsidRPr="00283960">
        <w:rPr>
          <w:rFonts w:asciiTheme="minorHAnsi" w:eastAsia="Times New Roman" w:hAnsiTheme="minorHAnsi" w:cstheme="minorHAnsi"/>
          <w:b/>
          <w:bCs/>
          <w:sz w:val="22"/>
          <w:lang w:eastAsia="es-PE"/>
        </w:rPr>
        <w:t>2.1. Competencias de área, capacidades, criterios y evidencias</w:t>
      </w:r>
    </w:p>
    <w:p w14:paraId="3BEEDA68" w14:textId="77777777" w:rsidR="00A12206" w:rsidRPr="00283960" w:rsidRDefault="00A12206" w:rsidP="00A12206">
      <w:pPr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theme="minorHAnsi"/>
          <w:sz w:val="22"/>
          <w:lang w:eastAsia="es-PE"/>
        </w:rPr>
      </w:pPr>
      <w:r w:rsidRPr="00283960">
        <w:rPr>
          <w:rFonts w:asciiTheme="minorHAnsi" w:eastAsia="Times New Roman" w:hAnsiTheme="minorHAnsi" w:cstheme="minorHAnsi"/>
          <w:b/>
          <w:bCs/>
          <w:sz w:val="22"/>
          <w:lang w:eastAsia="es-PE"/>
        </w:rPr>
        <w:t>La competencia:</w:t>
      </w:r>
      <w:r w:rsidRPr="00283960">
        <w:rPr>
          <w:rFonts w:asciiTheme="minorHAnsi" w:eastAsia="Times New Roman" w:hAnsiTheme="minorHAnsi" w:cstheme="minorHAnsi"/>
          <w:sz w:val="22"/>
          <w:lang w:eastAsia="es-PE"/>
        </w:rPr>
        <w:t xml:space="preserve"> CONSTRUYE INTERPRETACIONES HISTÓRICAS</w:t>
      </w:r>
    </w:p>
    <w:p w14:paraId="553D9EC6" w14:textId="77777777" w:rsidR="00A12206" w:rsidRPr="00283960" w:rsidRDefault="00A12206" w:rsidP="00A12206">
      <w:pPr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theme="minorHAnsi"/>
          <w:sz w:val="22"/>
          <w:lang w:eastAsia="es-PE"/>
        </w:rPr>
      </w:pPr>
      <w:r w:rsidRPr="00283960">
        <w:rPr>
          <w:rFonts w:asciiTheme="minorHAnsi" w:eastAsia="Times New Roman" w:hAnsiTheme="minorHAnsi" w:cstheme="minorHAnsi"/>
          <w:b/>
          <w:bCs/>
          <w:sz w:val="22"/>
          <w:lang w:eastAsia="es-PE"/>
        </w:rPr>
        <w:t>La capacidad:</w:t>
      </w:r>
      <w:r w:rsidRPr="00283960">
        <w:rPr>
          <w:rFonts w:asciiTheme="minorHAnsi" w:eastAsia="Times New Roman" w:hAnsiTheme="minorHAnsi" w:cstheme="minorHAnsi"/>
          <w:sz w:val="22"/>
          <w:lang w:eastAsia="es-PE"/>
        </w:rPr>
        <w:t xml:space="preserve"> Comprende el tiempo histórico.</w:t>
      </w:r>
    </w:p>
    <w:p w14:paraId="3800E759" w14:textId="77777777" w:rsidR="00A12206" w:rsidRPr="00283960" w:rsidRDefault="00A12206" w:rsidP="00A12206">
      <w:pPr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theme="minorHAnsi"/>
          <w:sz w:val="22"/>
          <w:lang w:eastAsia="es-PE"/>
        </w:rPr>
      </w:pPr>
      <w:r w:rsidRPr="00283960">
        <w:rPr>
          <w:rFonts w:asciiTheme="minorHAnsi" w:eastAsia="Times New Roman" w:hAnsiTheme="minorHAnsi" w:cstheme="minorHAnsi"/>
          <w:b/>
          <w:bCs/>
          <w:sz w:val="22"/>
          <w:lang w:eastAsia="es-PE"/>
        </w:rPr>
        <w:t>Desempeño:</w:t>
      </w:r>
      <w:r w:rsidRPr="00283960">
        <w:rPr>
          <w:rFonts w:asciiTheme="minorHAnsi" w:eastAsia="Times New Roman" w:hAnsiTheme="minorHAnsi" w:cstheme="minorHAnsi"/>
          <w:sz w:val="22"/>
          <w:lang w:eastAsia="es-PE"/>
        </w:rPr>
        <w:t xml:space="preserve"> Determina las características y la finalidad de los sistemas de trabajo (</w:t>
      </w:r>
      <w:proofErr w:type="spellStart"/>
      <w:r w:rsidRPr="00283960">
        <w:rPr>
          <w:rFonts w:asciiTheme="minorHAnsi" w:eastAsia="Times New Roman" w:hAnsiTheme="minorHAnsi" w:cstheme="minorHAnsi"/>
          <w:i/>
          <w:iCs/>
          <w:sz w:val="22"/>
          <w:lang w:eastAsia="es-PE"/>
        </w:rPr>
        <w:t>ayni</w:t>
      </w:r>
      <w:proofErr w:type="spellEnd"/>
      <w:r w:rsidRPr="00283960">
        <w:rPr>
          <w:rFonts w:asciiTheme="minorHAnsi" w:eastAsia="Times New Roman" w:hAnsiTheme="minorHAnsi" w:cstheme="minorHAnsi"/>
          <w:sz w:val="22"/>
          <w:lang w:eastAsia="es-PE"/>
        </w:rPr>
        <w:t xml:space="preserve">, </w:t>
      </w:r>
      <w:proofErr w:type="spellStart"/>
      <w:r w:rsidRPr="00283960">
        <w:rPr>
          <w:rFonts w:asciiTheme="minorHAnsi" w:eastAsia="Times New Roman" w:hAnsiTheme="minorHAnsi" w:cstheme="minorHAnsi"/>
          <w:i/>
          <w:iCs/>
          <w:sz w:val="22"/>
          <w:lang w:eastAsia="es-PE"/>
        </w:rPr>
        <w:t>minka</w:t>
      </w:r>
      <w:proofErr w:type="spellEnd"/>
      <w:r w:rsidRPr="00283960">
        <w:rPr>
          <w:rFonts w:asciiTheme="minorHAnsi" w:eastAsia="Times New Roman" w:hAnsiTheme="minorHAnsi" w:cstheme="minorHAnsi"/>
          <w:sz w:val="22"/>
          <w:lang w:eastAsia="es-PE"/>
        </w:rPr>
        <w:t xml:space="preserve">, </w:t>
      </w:r>
      <w:r w:rsidRPr="00283960">
        <w:rPr>
          <w:rFonts w:asciiTheme="minorHAnsi" w:eastAsia="Times New Roman" w:hAnsiTheme="minorHAnsi" w:cstheme="minorHAnsi"/>
          <w:i/>
          <w:iCs/>
          <w:sz w:val="22"/>
          <w:lang w:eastAsia="es-PE"/>
        </w:rPr>
        <w:t>mita</w:t>
      </w:r>
      <w:r w:rsidRPr="00283960">
        <w:rPr>
          <w:rFonts w:asciiTheme="minorHAnsi" w:eastAsia="Times New Roman" w:hAnsiTheme="minorHAnsi" w:cstheme="minorHAnsi"/>
          <w:sz w:val="22"/>
          <w:lang w:eastAsia="es-PE"/>
        </w:rPr>
        <w:t xml:space="preserve">) como pilares de la reciprocidad y redistribución </w:t>
      </w:r>
      <w:proofErr w:type="spellStart"/>
      <w:r w:rsidRPr="00283960">
        <w:rPr>
          <w:rFonts w:asciiTheme="minorHAnsi" w:eastAsia="Times New Roman" w:hAnsiTheme="minorHAnsi" w:cstheme="minorHAnsi"/>
          <w:sz w:val="22"/>
          <w:lang w:eastAsia="es-PE"/>
        </w:rPr>
        <w:t>inka</w:t>
      </w:r>
      <w:proofErr w:type="spellEnd"/>
      <w:r w:rsidRPr="00283960">
        <w:rPr>
          <w:rFonts w:asciiTheme="minorHAnsi" w:eastAsia="Times New Roman" w:hAnsiTheme="minorHAnsi" w:cstheme="minorHAnsi"/>
          <w:sz w:val="22"/>
          <w:lang w:eastAsia="es-PE"/>
        </w:rPr>
        <w:t>.</w:t>
      </w:r>
    </w:p>
    <w:p w14:paraId="15B81DDF" w14:textId="77777777" w:rsidR="00A12206" w:rsidRPr="00283960" w:rsidRDefault="00A12206" w:rsidP="00A12206">
      <w:pPr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theme="minorHAnsi"/>
          <w:sz w:val="22"/>
          <w:lang w:eastAsia="es-PE"/>
        </w:rPr>
      </w:pPr>
      <w:r w:rsidRPr="00283960">
        <w:rPr>
          <w:rFonts w:asciiTheme="minorHAnsi" w:eastAsia="Times New Roman" w:hAnsiTheme="minorHAnsi" w:cstheme="minorHAnsi"/>
          <w:b/>
          <w:bCs/>
          <w:sz w:val="22"/>
          <w:lang w:eastAsia="es-PE"/>
        </w:rPr>
        <w:t>Criterio de evaluación:</w:t>
      </w:r>
      <w:r w:rsidRPr="00283960">
        <w:rPr>
          <w:rFonts w:asciiTheme="minorHAnsi" w:eastAsia="Times New Roman" w:hAnsiTheme="minorHAnsi" w:cstheme="minorHAnsi"/>
          <w:sz w:val="22"/>
          <w:lang w:eastAsia="es-PE"/>
        </w:rPr>
        <w:t xml:space="preserve"> Determina las características y alcances de los sistemas de trabajo inca (</w:t>
      </w:r>
      <w:proofErr w:type="spellStart"/>
      <w:r w:rsidRPr="00283960">
        <w:rPr>
          <w:rFonts w:asciiTheme="minorHAnsi" w:eastAsia="Times New Roman" w:hAnsiTheme="minorHAnsi" w:cstheme="minorHAnsi"/>
          <w:i/>
          <w:iCs/>
          <w:sz w:val="22"/>
          <w:lang w:eastAsia="es-PE"/>
        </w:rPr>
        <w:t>ayni</w:t>
      </w:r>
      <w:proofErr w:type="spellEnd"/>
      <w:r w:rsidRPr="00283960">
        <w:rPr>
          <w:rFonts w:asciiTheme="minorHAnsi" w:eastAsia="Times New Roman" w:hAnsiTheme="minorHAnsi" w:cstheme="minorHAnsi"/>
          <w:sz w:val="22"/>
          <w:lang w:eastAsia="es-PE"/>
        </w:rPr>
        <w:t xml:space="preserve">, </w:t>
      </w:r>
      <w:proofErr w:type="spellStart"/>
      <w:r w:rsidRPr="00283960">
        <w:rPr>
          <w:rFonts w:asciiTheme="minorHAnsi" w:eastAsia="Times New Roman" w:hAnsiTheme="minorHAnsi" w:cstheme="minorHAnsi"/>
          <w:i/>
          <w:iCs/>
          <w:sz w:val="22"/>
          <w:lang w:eastAsia="es-PE"/>
        </w:rPr>
        <w:t>minka</w:t>
      </w:r>
      <w:proofErr w:type="spellEnd"/>
      <w:r w:rsidRPr="00283960">
        <w:rPr>
          <w:rFonts w:asciiTheme="minorHAnsi" w:eastAsia="Times New Roman" w:hAnsiTheme="minorHAnsi" w:cstheme="minorHAnsi"/>
          <w:sz w:val="22"/>
          <w:lang w:eastAsia="es-PE"/>
        </w:rPr>
        <w:t xml:space="preserve">, </w:t>
      </w:r>
      <w:r w:rsidRPr="00283960">
        <w:rPr>
          <w:rFonts w:asciiTheme="minorHAnsi" w:eastAsia="Times New Roman" w:hAnsiTheme="minorHAnsi" w:cstheme="minorHAnsi"/>
          <w:i/>
          <w:iCs/>
          <w:sz w:val="22"/>
          <w:lang w:eastAsia="es-PE"/>
        </w:rPr>
        <w:t>mita</w:t>
      </w:r>
      <w:r w:rsidRPr="00283960">
        <w:rPr>
          <w:rFonts w:asciiTheme="minorHAnsi" w:eastAsia="Times New Roman" w:hAnsiTheme="minorHAnsi" w:cstheme="minorHAnsi"/>
          <w:sz w:val="22"/>
          <w:lang w:eastAsia="es-PE"/>
        </w:rPr>
        <w:t>), vinculándolos con la cohesión social mediante un esquema explicativo.</w:t>
      </w:r>
    </w:p>
    <w:p w14:paraId="535EB400" w14:textId="77777777" w:rsidR="00A12206" w:rsidRPr="00283960" w:rsidRDefault="00A12206" w:rsidP="00A12206">
      <w:pPr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theme="minorHAnsi"/>
          <w:sz w:val="22"/>
          <w:lang w:eastAsia="es-PE"/>
        </w:rPr>
      </w:pPr>
      <w:r w:rsidRPr="00283960">
        <w:rPr>
          <w:rFonts w:asciiTheme="minorHAnsi" w:eastAsia="Times New Roman" w:hAnsiTheme="minorHAnsi" w:cstheme="minorHAnsi"/>
          <w:b/>
          <w:bCs/>
          <w:sz w:val="22"/>
          <w:lang w:eastAsia="es-PE"/>
        </w:rPr>
        <w:t>Evidencia:</w:t>
      </w:r>
      <w:r w:rsidRPr="00283960">
        <w:rPr>
          <w:rFonts w:asciiTheme="minorHAnsi" w:eastAsia="Times New Roman" w:hAnsiTheme="minorHAnsi" w:cstheme="minorHAnsi"/>
          <w:sz w:val="22"/>
          <w:lang w:eastAsia="es-PE"/>
        </w:rPr>
        <w:t xml:space="preserve"> Esquema explicativo sobre los sistemas de trabajo en el Tahuantinsuyo.</w:t>
      </w:r>
    </w:p>
    <w:p w14:paraId="732C427B" w14:textId="77777777" w:rsidR="00A12206" w:rsidRPr="00283960" w:rsidRDefault="00A12206" w:rsidP="00A12206">
      <w:pPr>
        <w:spacing w:after="0" w:line="240" w:lineRule="auto"/>
        <w:ind w:firstLine="0"/>
        <w:outlineLvl w:val="2"/>
        <w:rPr>
          <w:rFonts w:asciiTheme="minorHAnsi" w:eastAsia="Times New Roman" w:hAnsiTheme="minorHAnsi" w:cstheme="minorHAnsi"/>
          <w:b/>
          <w:bCs/>
          <w:sz w:val="22"/>
          <w:lang w:eastAsia="es-PE"/>
        </w:rPr>
      </w:pPr>
      <w:r w:rsidRPr="00283960">
        <w:rPr>
          <w:rFonts w:asciiTheme="minorHAnsi" w:eastAsia="Times New Roman" w:hAnsiTheme="minorHAnsi" w:cstheme="minorHAnsi"/>
          <w:b/>
          <w:bCs/>
          <w:sz w:val="22"/>
          <w:lang w:eastAsia="es-PE"/>
        </w:rPr>
        <w:t>2.2. Competencias transversales, capacidades y criterios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7"/>
        <w:gridCol w:w="2516"/>
        <w:gridCol w:w="3631"/>
      </w:tblGrid>
      <w:tr w:rsidR="00A12206" w:rsidRPr="00283960" w14:paraId="5DA87540" w14:textId="77777777" w:rsidTr="00A12206">
        <w:trPr>
          <w:tblHeader/>
          <w:tblCellSpacing w:w="15" w:type="dxa"/>
        </w:trPr>
        <w:tc>
          <w:tcPr>
            <w:tcW w:w="0" w:type="auto"/>
            <w:shd w:val="clear" w:color="auto" w:fill="FFFF00"/>
            <w:vAlign w:val="center"/>
            <w:hideMark/>
          </w:tcPr>
          <w:p w14:paraId="03FF6AC3" w14:textId="77777777" w:rsidR="00A12206" w:rsidRPr="00283960" w:rsidRDefault="00A12206" w:rsidP="001F709C">
            <w:pPr>
              <w:spacing w:after="0" w:line="240" w:lineRule="auto"/>
              <w:ind w:firstLine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  <w:t>COMPETENCIA TRANSVERSAL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14:paraId="78AF7AE7" w14:textId="77777777" w:rsidR="00A12206" w:rsidRPr="00283960" w:rsidRDefault="00A12206" w:rsidP="001F709C">
            <w:pPr>
              <w:spacing w:after="0" w:line="240" w:lineRule="auto"/>
              <w:ind w:firstLine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  <w:t>CAPACIDADES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14:paraId="7F0AD55E" w14:textId="77777777" w:rsidR="00A12206" w:rsidRPr="00283960" w:rsidRDefault="00A12206" w:rsidP="001F709C">
            <w:pPr>
              <w:spacing w:after="0" w:line="240" w:lineRule="auto"/>
              <w:ind w:firstLine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  <w:t>CRITERIOS</w:t>
            </w:r>
          </w:p>
        </w:tc>
      </w:tr>
      <w:tr w:rsidR="00A12206" w:rsidRPr="00283960" w14:paraId="2C6C5861" w14:textId="77777777" w:rsidTr="001F70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A70D11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Gestiona su aprendizaje de manera autónoma.</w:t>
            </w:r>
          </w:p>
        </w:tc>
        <w:tc>
          <w:tcPr>
            <w:tcW w:w="0" w:type="auto"/>
            <w:vAlign w:val="center"/>
            <w:hideMark/>
          </w:tcPr>
          <w:p w14:paraId="7DACFF77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• Define metas de aprendizaje.</w:t>
            </w:r>
          </w:p>
          <w:p w14:paraId="70D18492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• Organiza acciones estratégicas para alcanzar sus metas.</w:t>
            </w:r>
          </w:p>
          <w:p w14:paraId="30D7B71F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• Monitorea y ajusta su desempeño durante el proceso de aprendizaje.</w:t>
            </w:r>
          </w:p>
        </w:tc>
        <w:tc>
          <w:tcPr>
            <w:tcW w:w="0" w:type="auto"/>
            <w:vAlign w:val="center"/>
            <w:hideMark/>
          </w:tcPr>
          <w:p w14:paraId="5E98F142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• Organiza su tiempo y estrategias para elaborar el esquema explicativo sobre los sistemas de trabajo inca de forma autónoma.</w:t>
            </w:r>
          </w:p>
        </w:tc>
      </w:tr>
      <w:tr w:rsidR="00A12206" w:rsidRPr="00283960" w14:paraId="5D7E1E22" w14:textId="77777777" w:rsidTr="001F70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874E30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Se desenvuelve en entornos virtuales generados por las TIC.</w:t>
            </w:r>
          </w:p>
        </w:tc>
        <w:tc>
          <w:tcPr>
            <w:tcW w:w="0" w:type="auto"/>
            <w:vAlign w:val="center"/>
            <w:hideMark/>
          </w:tcPr>
          <w:p w14:paraId="08CF762F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• Personaliza entornos virtuales.</w:t>
            </w:r>
          </w:p>
          <w:p w14:paraId="19F5AE63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• Gestiona información del entorno virtual.</w:t>
            </w:r>
          </w:p>
          <w:p w14:paraId="012FC01E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• Interactúa en entornos virtuales.</w:t>
            </w:r>
          </w:p>
          <w:p w14:paraId="1FEA0290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• Crea objetos virtuales en diversos formatos.</w:t>
            </w:r>
          </w:p>
        </w:tc>
        <w:tc>
          <w:tcPr>
            <w:tcW w:w="0" w:type="auto"/>
            <w:vAlign w:val="center"/>
            <w:hideMark/>
          </w:tcPr>
          <w:p w14:paraId="6F71029C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• Emplea fuentes digitales y organizadores visuales interactivos para estructurar información histórica de manera pertinente.</w:t>
            </w:r>
          </w:p>
        </w:tc>
      </w:tr>
    </w:tbl>
    <w:p w14:paraId="4A56DF89" w14:textId="77777777" w:rsidR="00A12206" w:rsidRPr="00283960" w:rsidRDefault="00A12206" w:rsidP="00A12206">
      <w:pPr>
        <w:spacing w:after="0" w:line="240" w:lineRule="auto"/>
        <w:ind w:firstLine="0"/>
        <w:outlineLvl w:val="2"/>
        <w:rPr>
          <w:rFonts w:asciiTheme="minorHAnsi" w:eastAsia="Times New Roman" w:hAnsiTheme="minorHAnsi" w:cstheme="minorHAnsi"/>
          <w:b/>
          <w:bCs/>
          <w:sz w:val="22"/>
          <w:lang w:eastAsia="es-PE"/>
        </w:rPr>
      </w:pPr>
      <w:r w:rsidRPr="00283960">
        <w:rPr>
          <w:rFonts w:asciiTheme="minorHAnsi" w:eastAsia="Times New Roman" w:hAnsiTheme="minorHAnsi" w:cstheme="minorHAnsi"/>
          <w:b/>
          <w:bCs/>
          <w:sz w:val="22"/>
          <w:lang w:eastAsia="es-PE"/>
        </w:rPr>
        <w:t>2.3. Enfoques Transversales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2"/>
        <w:gridCol w:w="1735"/>
        <w:gridCol w:w="4977"/>
      </w:tblGrid>
      <w:tr w:rsidR="00A12206" w:rsidRPr="00283960" w14:paraId="02690EDF" w14:textId="77777777" w:rsidTr="00A12206">
        <w:trPr>
          <w:tblHeader/>
          <w:tblCellSpacing w:w="15" w:type="dxa"/>
        </w:trPr>
        <w:tc>
          <w:tcPr>
            <w:tcW w:w="0" w:type="auto"/>
            <w:shd w:val="clear" w:color="auto" w:fill="FFFF00"/>
            <w:vAlign w:val="center"/>
            <w:hideMark/>
          </w:tcPr>
          <w:p w14:paraId="01CA54CE" w14:textId="77777777" w:rsidR="00A12206" w:rsidRPr="00283960" w:rsidRDefault="00A12206" w:rsidP="001F709C">
            <w:pPr>
              <w:spacing w:after="0" w:line="240" w:lineRule="auto"/>
              <w:ind w:firstLine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  <w:t>ENFOQUE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14:paraId="4A2401A2" w14:textId="77777777" w:rsidR="00A12206" w:rsidRPr="00283960" w:rsidRDefault="00A12206" w:rsidP="001F709C">
            <w:pPr>
              <w:spacing w:after="0" w:line="240" w:lineRule="auto"/>
              <w:ind w:firstLine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  <w:t>VALORES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14:paraId="625F706E" w14:textId="77777777" w:rsidR="00A12206" w:rsidRPr="00283960" w:rsidRDefault="00A12206" w:rsidP="001F709C">
            <w:pPr>
              <w:spacing w:after="0" w:line="240" w:lineRule="auto"/>
              <w:ind w:firstLine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  <w:t>ACTITUDES OBSERVABLES</w:t>
            </w:r>
          </w:p>
        </w:tc>
      </w:tr>
      <w:tr w:rsidR="00A12206" w:rsidRPr="00283960" w14:paraId="3D9F2A34" w14:textId="77777777" w:rsidTr="001F70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6C2B80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Enfoque Intercultural</w:t>
            </w:r>
          </w:p>
        </w:tc>
        <w:tc>
          <w:tcPr>
            <w:tcW w:w="0" w:type="auto"/>
            <w:vAlign w:val="center"/>
            <w:hideMark/>
          </w:tcPr>
          <w:p w14:paraId="37CD809B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• Respeto a la identidad cultural.</w:t>
            </w:r>
          </w:p>
          <w:p w14:paraId="61CB8024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br/>
            </w:r>
          </w:p>
          <w:p w14:paraId="56FFCA01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• Diálogo intercultural.</w:t>
            </w:r>
          </w:p>
        </w:tc>
        <w:tc>
          <w:tcPr>
            <w:tcW w:w="0" w:type="auto"/>
            <w:vAlign w:val="center"/>
            <w:hideMark/>
          </w:tcPr>
          <w:p w14:paraId="2DF57BE7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• Los estudiantes valoran y revaloran las prácticas tradicionales de trabajo comunitario (</w:t>
            </w:r>
            <w:proofErr w:type="spellStart"/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>ayni</w:t>
            </w:r>
            <w:proofErr w:type="spellEnd"/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, </w:t>
            </w:r>
            <w:proofErr w:type="spellStart"/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>minka</w:t>
            </w:r>
            <w:proofErr w:type="spellEnd"/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) vigentes en su comunidad, fomentando la cohesión social.</w:t>
            </w:r>
          </w:p>
        </w:tc>
      </w:tr>
      <w:tr w:rsidR="00A12206" w:rsidRPr="00283960" w14:paraId="58600F4C" w14:textId="77777777" w:rsidTr="001F70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22EC34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lastRenderedPageBreak/>
              <w:t>Enfoque Orientación al Bien Común</w:t>
            </w:r>
          </w:p>
        </w:tc>
        <w:tc>
          <w:tcPr>
            <w:tcW w:w="0" w:type="auto"/>
            <w:vAlign w:val="center"/>
            <w:hideMark/>
          </w:tcPr>
          <w:p w14:paraId="3CCC3C2A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• Equidad y justicia.</w:t>
            </w:r>
          </w:p>
          <w:p w14:paraId="022CF6B8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br/>
            </w:r>
          </w:p>
          <w:p w14:paraId="1201B40F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• Solidaridad.</w:t>
            </w:r>
          </w:p>
        </w:tc>
        <w:tc>
          <w:tcPr>
            <w:tcW w:w="0" w:type="auto"/>
            <w:vAlign w:val="center"/>
            <w:hideMark/>
          </w:tcPr>
          <w:p w14:paraId="6665544E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• Los estudiantes demuestran solidaridad y disposición a colaborar en el bienestar colectivo, reconociendo el sentido de reciprocidad andina.</w:t>
            </w:r>
          </w:p>
        </w:tc>
      </w:tr>
    </w:tbl>
    <w:p w14:paraId="7837C414" w14:textId="77777777" w:rsidR="00A12206" w:rsidRDefault="00A12206" w:rsidP="00A12206">
      <w:pPr>
        <w:spacing w:after="0" w:line="240" w:lineRule="auto"/>
        <w:ind w:firstLine="0"/>
        <w:outlineLvl w:val="1"/>
        <w:rPr>
          <w:rFonts w:asciiTheme="minorHAnsi" w:eastAsia="Times New Roman" w:hAnsiTheme="minorHAnsi" w:cstheme="minorHAnsi"/>
          <w:b/>
          <w:bCs/>
          <w:sz w:val="22"/>
          <w:lang w:eastAsia="es-PE"/>
        </w:rPr>
      </w:pPr>
    </w:p>
    <w:p w14:paraId="0E6A1B92" w14:textId="77777777" w:rsidR="00A12206" w:rsidRDefault="00A12206" w:rsidP="00A12206">
      <w:pPr>
        <w:spacing w:after="0" w:line="240" w:lineRule="auto"/>
        <w:ind w:firstLine="0"/>
        <w:outlineLvl w:val="1"/>
        <w:rPr>
          <w:rFonts w:asciiTheme="minorHAnsi" w:eastAsia="Times New Roman" w:hAnsiTheme="minorHAnsi" w:cstheme="minorHAnsi"/>
          <w:b/>
          <w:bCs/>
          <w:sz w:val="22"/>
          <w:lang w:eastAsia="es-PE"/>
        </w:rPr>
      </w:pPr>
      <w:r w:rsidRPr="00283960">
        <w:rPr>
          <w:rFonts w:asciiTheme="minorHAnsi" w:eastAsia="Times New Roman" w:hAnsiTheme="minorHAnsi" w:cstheme="minorHAnsi"/>
          <w:b/>
          <w:bCs/>
          <w:sz w:val="22"/>
          <w:lang w:eastAsia="es-PE"/>
        </w:rPr>
        <w:t>III. SECUENCIA DE LA ACTIVIDAD</w:t>
      </w:r>
    </w:p>
    <w:p w14:paraId="17B05D86" w14:textId="77777777" w:rsidR="00A12206" w:rsidRPr="00283960" w:rsidRDefault="00A12206" w:rsidP="00A12206">
      <w:pPr>
        <w:spacing w:after="0" w:line="240" w:lineRule="auto"/>
        <w:ind w:firstLine="0"/>
        <w:outlineLvl w:val="1"/>
        <w:rPr>
          <w:rFonts w:asciiTheme="minorHAnsi" w:eastAsia="Times New Roman" w:hAnsiTheme="minorHAnsi" w:cstheme="minorHAnsi"/>
          <w:b/>
          <w:bCs/>
          <w:sz w:val="22"/>
          <w:lang w:eastAsia="es-PE"/>
        </w:rPr>
      </w:pPr>
    </w:p>
    <w:tbl>
      <w:tblPr>
        <w:tblW w:w="967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4"/>
        <w:gridCol w:w="8095"/>
      </w:tblGrid>
      <w:tr w:rsidR="00A12206" w:rsidRPr="00283960" w14:paraId="48513CF5" w14:textId="77777777" w:rsidTr="00A12206">
        <w:trPr>
          <w:trHeight w:val="258"/>
          <w:tblHeader/>
          <w:tblCellSpacing w:w="15" w:type="dxa"/>
        </w:trPr>
        <w:tc>
          <w:tcPr>
            <w:tcW w:w="0" w:type="auto"/>
            <w:shd w:val="clear" w:color="auto" w:fill="FFFF00"/>
            <w:vAlign w:val="center"/>
            <w:hideMark/>
          </w:tcPr>
          <w:p w14:paraId="64009AF8" w14:textId="77777777" w:rsidR="00A12206" w:rsidRPr="00283960" w:rsidRDefault="00A12206" w:rsidP="001F709C">
            <w:pPr>
              <w:spacing w:after="0" w:line="240" w:lineRule="auto"/>
              <w:ind w:firstLine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  <w:t>MOMENTOS</w:t>
            </w:r>
          </w:p>
        </w:tc>
        <w:tc>
          <w:tcPr>
            <w:tcW w:w="8050" w:type="dxa"/>
            <w:shd w:val="clear" w:color="auto" w:fill="FFFF00"/>
            <w:vAlign w:val="center"/>
            <w:hideMark/>
          </w:tcPr>
          <w:p w14:paraId="06460C44" w14:textId="77777777" w:rsidR="00A12206" w:rsidRPr="00283960" w:rsidRDefault="00A12206" w:rsidP="001F709C">
            <w:pPr>
              <w:spacing w:after="0" w:line="240" w:lineRule="auto"/>
              <w:ind w:firstLine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  <w:t>PROCESOS PEDAGÓGICOS Y ACTIVIDADES / ESTRATEGIAS METODOLÓGICAS</w:t>
            </w:r>
          </w:p>
        </w:tc>
      </w:tr>
      <w:tr w:rsidR="00A12206" w:rsidRPr="00283960" w14:paraId="727806F3" w14:textId="77777777" w:rsidTr="001F709C">
        <w:trPr>
          <w:trHeight w:val="5865"/>
          <w:tblCellSpacing w:w="15" w:type="dxa"/>
        </w:trPr>
        <w:tc>
          <w:tcPr>
            <w:tcW w:w="0" w:type="auto"/>
            <w:vAlign w:val="center"/>
            <w:hideMark/>
          </w:tcPr>
          <w:p w14:paraId="6F9C5BF1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  <w:t>INICIO</w:t>
            </w: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 </w:t>
            </w:r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>(Duración: 15 minutos)</w:t>
            </w:r>
          </w:p>
        </w:tc>
        <w:tc>
          <w:tcPr>
            <w:tcW w:w="8050" w:type="dxa"/>
            <w:vAlign w:val="center"/>
            <w:hideMark/>
          </w:tcPr>
          <w:p w14:paraId="5C801DB1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  <w:t>PROBLEMATIZACIÓN:</w:t>
            </w:r>
          </w:p>
          <w:p w14:paraId="39FFF3EE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Los </w:t>
            </w: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estudiante</w:t>
            </w:r>
            <w:r>
              <w:rPr>
                <w:rFonts w:asciiTheme="minorHAnsi" w:eastAsia="Times New Roman" w:hAnsiTheme="minorHAnsi" w:cstheme="minorHAnsi"/>
                <w:sz w:val="22"/>
                <w:lang w:eastAsia="es-PE"/>
              </w:rPr>
              <w:t>s</w:t>
            </w: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 </w:t>
            </w:r>
            <w:proofErr w:type="gramStart"/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observa</w:t>
            </w:r>
            <w:r>
              <w:rPr>
                <w:rFonts w:asciiTheme="minorHAnsi" w:eastAsia="Times New Roman" w:hAnsiTheme="minorHAnsi" w:cstheme="minorHAnsi"/>
                <w:sz w:val="22"/>
                <w:lang w:eastAsia="es-PE"/>
              </w:rPr>
              <w:t>s</w:t>
            </w: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  lámina</w:t>
            </w:r>
            <w:r>
              <w:rPr>
                <w:rFonts w:asciiTheme="minorHAnsi" w:eastAsia="Times New Roman" w:hAnsiTheme="minorHAnsi" w:cstheme="minorHAnsi"/>
                <w:sz w:val="22"/>
                <w:lang w:eastAsia="es-PE"/>
              </w:rPr>
              <w:t>s</w:t>
            </w:r>
            <w:proofErr w:type="gramEnd"/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 donde los comuneros realizan una faena comunal de limpieza de acequias (</w:t>
            </w:r>
            <w:proofErr w:type="spellStart"/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>minka</w:t>
            </w:r>
            <w:proofErr w:type="spellEnd"/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) o se ayudan mutuamente en la construcción de una vivienda (</w:t>
            </w:r>
            <w:proofErr w:type="spellStart"/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>ayni</w:t>
            </w:r>
            <w:proofErr w:type="spellEnd"/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). A partir de ello, el estudiante responde de manera reflexiva: </w:t>
            </w:r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 xml:space="preserve">¿Por qué creen que nuestros abuelos y comunidades actuales siguen practicando el </w:t>
            </w:r>
            <w:proofErr w:type="spellStart"/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>ayni</w:t>
            </w:r>
            <w:proofErr w:type="spellEnd"/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 xml:space="preserve"> o la </w:t>
            </w:r>
            <w:proofErr w:type="spellStart"/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>minka</w:t>
            </w:r>
            <w:proofErr w:type="spellEnd"/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>, y de qué manera estos sistemas aseguran que nadie quede desprotegido en el pueblo?, ¿cómo se relacionaban estas formas de trabajo con el Estado inca?</w:t>
            </w: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 Esto genera conflicto cognitivo al contrastar las prácticas vivas de su comunidad con la organización del Tahuantinsuyo.</w:t>
            </w:r>
          </w:p>
          <w:p w14:paraId="2B3DC921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  <w:t>MOTIVACIÓN:</w:t>
            </w:r>
          </w:p>
          <w:p w14:paraId="7C59BE64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El estudiante escucha con atención un relato breve   sobre cómo se fortalece la vida comunitaria en </w:t>
            </w:r>
            <w:proofErr w:type="spellStart"/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Ccatcca</w:t>
            </w:r>
            <w:proofErr w:type="spellEnd"/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 gracias a la ayuda mutua, conectando el pasado histórico con su vivencia cotidiana.</w:t>
            </w:r>
          </w:p>
          <w:p w14:paraId="19EA0681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  <w:t>SABERES PREVIOS:</w:t>
            </w:r>
          </w:p>
          <w:p w14:paraId="42084639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</w:p>
          <w:p w14:paraId="527ADDDC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El estudiante participa activamente en una lluvia de ideas respondiendo: </w:t>
            </w:r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 xml:space="preserve">¿Qué formas de trabajo practicamos en la familia o comunidad?, ¿qué significan las palabras </w:t>
            </w:r>
            <w:proofErr w:type="spellStart"/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>ayni</w:t>
            </w:r>
            <w:proofErr w:type="spellEnd"/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 xml:space="preserve"> y </w:t>
            </w:r>
            <w:proofErr w:type="spellStart"/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>minka</w:t>
            </w:r>
            <w:proofErr w:type="spellEnd"/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 xml:space="preserve"> en nuestra vida diaria?</w:t>
            </w:r>
          </w:p>
          <w:p w14:paraId="4E9E2301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  <w:t>PROPÓSITO Y ORGANIZACIÓN:</w:t>
            </w:r>
          </w:p>
          <w:p w14:paraId="23B1AE4A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El estudiante reconoce el propósito de la sesión: </w:t>
            </w:r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>"Comprendemos las características y la finalidad de los sistemas de trabajo (</w:t>
            </w:r>
            <w:proofErr w:type="spellStart"/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>ayni</w:t>
            </w:r>
            <w:proofErr w:type="spellEnd"/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 xml:space="preserve">, </w:t>
            </w:r>
            <w:proofErr w:type="spellStart"/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>minka</w:t>
            </w:r>
            <w:proofErr w:type="spellEnd"/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 xml:space="preserve">, mita) como pilares de la reciprocidad y redistribución </w:t>
            </w:r>
            <w:proofErr w:type="spellStart"/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>inka</w:t>
            </w:r>
            <w:proofErr w:type="spellEnd"/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 xml:space="preserve"> a través de un esquema explicativo"</w:t>
            </w: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. Identifica los criterios de evaluación y las actividades a realizar.</w:t>
            </w:r>
          </w:p>
        </w:tc>
      </w:tr>
      <w:tr w:rsidR="00A12206" w:rsidRPr="00283960" w14:paraId="37AB2B68" w14:textId="77777777" w:rsidTr="001F709C">
        <w:trPr>
          <w:trHeight w:val="4803"/>
          <w:tblCellSpacing w:w="15" w:type="dxa"/>
        </w:trPr>
        <w:tc>
          <w:tcPr>
            <w:tcW w:w="0" w:type="auto"/>
            <w:vAlign w:val="center"/>
            <w:hideMark/>
          </w:tcPr>
          <w:p w14:paraId="01AF8FB8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  <w:lastRenderedPageBreak/>
              <w:t>DESARROLLO</w:t>
            </w: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 </w:t>
            </w:r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>(Duración: 60 minutos)</w:t>
            </w:r>
          </w:p>
        </w:tc>
        <w:tc>
          <w:tcPr>
            <w:tcW w:w="8050" w:type="dxa"/>
            <w:vAlign w:val="center"/>
            <w:hideMark/>
          </w:tcPr>
          <w:p w14:paraId="472927A3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  <w:t>GESTIÓN Y ACOMPAÑAMIENTO:</w:t>
            </w:r>
          </w:p>
          <w:p w14:paraId="10E26EFD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• </w:t>
            </w:r>
            <w:r w:rsidRPr="00283960"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  <w:t>Presentación y organización de la información:</w:t>
            </w: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sz w:val="22"/>
                <w:lang w:eastAsia="es-PE"/>
              </w:rPr>
              <w:t>un</w:t>
            </w: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 estudiante lee de manera individual y colaborativa las páginas 94 y 95 del texto escolar de Historia, Geografía y Economía, subrayando las ideas principales sobre el </w:t>
            </w:r>
            <w:proofErr w:type="spellStart"/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>ayni</w:t>
            </w:r>
            <w:proofErr w:type="spellEnd"/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, la </w:t>
            </w:r>
            <w:proofErr w:type="spellStart"/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>minka</w:t>
            </w:r>
            <w:proofErr w:type="spellEnd"/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 y la </w:t>
            </w:r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>mita</w:t>
            </w: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.</w:t>
            </w:r>
          </w:p>
          <w:p w14:paraId="59C89110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</w:p>
          <w:p w14:paraId="7E71F2A4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• </w:t>
            </w:r>
            <w:r w:rsidRPr="00283960"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  <w:t>Relación con el contexto sociocultural y diálogo de saberes:</w:t>
            </w: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 El estudiante vincula la lectura del texto escolar con los saberes andinos de su comunidad, dialogando sobre cómo el </w:t>
            </w:r>
            <w:proofErr w:type="spellStart"/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>ayni</w:t>
            </w:r>
            <w:proofErr w:type="spellEnd"/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 (reciprocidad simétrica entre particulares) y la </w:t>
            </w:r>
            <w:proofErr w:type="spellStart"/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>minka</w:t>
            </w:r>
            <w:proofErr w:type="spellEnd"/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 (trabajo colectivo en beneficio de la comunidad) se practican hoy en día en </w:t>
            </w:r>
            <w:proofErr w:type="spellStart"/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Ccatcca</w:t>
            </w:r>
            <w:proofErr w:type="spellEnd"/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 y zonas de Quispicanchi.</w:t>
            </w:r>
          </w:p>
          <w:p w14:paraId="747689FE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</w:p>
          <w:p w14:paraId="0298BE67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• </w:t>
            </w:r>
            <w:r w:rsidRPr="00283960"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  <w:t>Desarrollo del pensamiento crítico y ciudadano:</w:t>
            </w: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 El estudiante organiza la información mediante un organizador visual analizando las diferencias, características y finalidades de cada sistema de trabajo inca (</w:t>
            </w:r>
            <w:proofErr w:type="spellStart"/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>ayni</w:t>
            </w:r>
            <w:proofErr w:type="spellEnd"/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, </w:t>
            </w:r>
            <w:proofErr w:type="spellStart"/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>minka</w:t>
            </w:r>
            <w:proofErr w:type="spellEnd"/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 y </w:t>
            </w:r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>mita</w:t>
            </w: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), deliberando sobre la importancia de la reciprocidad y la redistribución estatal como ejes de la economía del Tahuantinsuyo y la cohesión social.</w:t>
            </w:r>
          </w:p>
          <w:p w14:paraId="38CD22E6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</w:p>
          <w:p w14:paraId="30C0B537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• </w:t>
            </w:r>
            <w:r w:rsidRPr="00283960"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  <w:t>Mediación pedagógica y acompañamiento docente:</w:t>
            </w: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sz w:val="22"/>
                <w:lang w:eastAsia="es-PE"/>
              </w:rPr>
              <w:t>La</w:t>
            </w: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 docente formula preguntas de andamiaje (</w:t>
            </w:r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 xml:space="preserve">¿Cuál era la diferencia entre el beneficio del </w:t>
            </w:r>
            <w:proofErr w:type="spellStart"/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>ayni</w:t>
            </w:r>
            <w:proofErr w:type="spellEnd"/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 xml:space="preserve"> y el de la mita estatal?, ¿cómo garantizaba el Inca la redistribución con los bienes producidos en la mita?</w:t>
            </w: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), monitorea permanentemente el trabajo de los 24 estudiantes, brinda retroalimentación descriptiva y atiende diferencias individuales asegurando la participación de todos.</w:t>
            </w:r>
          </w:p>
          <w:p w14:paraId="6BF4B96C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</w:p>
          <w:p w14:paraId="267A5826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• </w:t>
            </w:r>
            <w:r w:rsidRPr="00283960"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  <w:t>Autoevaluación y/o coevaluación:</w:t>
            </w: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sz w:val="22"/>
                <w:lang w:eastAsia="es-PE"/>
              </w:rPr>
              <w:t>Los</w:t>
            </w: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 estudiante</w:t>
            </w:r>
            <w:r>
              <w:rPr>
                <w:rFonts w:asciiTheme="minorHAnsi" w:eastAsia="Times New Roman" w:hAnsiTheme="minorHAnsi" w:cstheme="minorHAnsi"/>
                <w:sz w:val="22"/>
                <w:lang w:eastAsia="es-PE"/>
              </w:rPr>
              <w:t>s</w:t>
            </w: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 revisa</w:t>
            </w:r>
            <w:r>
              <w:rPr>
                <w:rFonts w:asciiTheme="minorHAnsi" w:eastAsia="Times New Roman" w:hAnsiTheme="minorHAnsi" w:cstheme="minorHAnsi"/>
                <w:sz w:val="22"/>
                <w:lang w:eastAsia="es-PE"/>
              </w:rPr>
              <w:t>n</w:t>
            </w: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 su avance utilizando una pauta rápida de autocorrección para verificar si su esquema explicativo incluye los tres sistemas de trabajo con sus respectivas finalidades y su vinculación con la cohesión social.</w:t>
            </w:r>
          </w:p>
          <w:p w14:paraId="3E9483A5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  <w:t>Acciones del docente:</w:t>
            </w: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 Monitoreo activo por las mesas de trabajo, orientación en la selección de conceptos clave y mediación en el diálogo intercultural.</w:t>
            </w:r>
          </w:p>
          <w:p w14:paraId="628B229D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  <w:t>Acciones de los estudiantes:</w:t>
            </w: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 Lectura del texto escolar (páginas 94 y 95), análisis comparativo, discusión en equipo y elaboración del esquema explicativo.</w:t>
            </w:r>
          </w:p>
          <w:p w14:paraId="0EBBBA6E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  <w:t>Recursos:</w:t>
            </w: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 Texto escolar de Historia, Geografía y Economía (pág. 94 y 95), papelógrafos, plumones, fichas de trabajo.</w:t>
            </w:r>
          </w:p>
          <w:p w14:paraId="52EBB5D2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  <w:t>Estrategias diferenciadas:</w:t>
            </w: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 Brindar apoyo estructurado con organizadores gráficos parciales a estudiantes que requieran mayor andamiaje en la síntesis de información histórica.</w:t>
            </w:r>
          </w:p>
        </w:tc>
      </w:tr>
      <w:tr w:rsidR="00A12206" w:rsidRPr="00283960" w14:paraId="248B1C5D" w14:textId="77777777" w:rsidTr="001F709C">
        <w:trPr>
          <w:trHeight w:val="3453"/>
          <w:tblCellSpacing w:w="15" w:type="dxa"/>
        </w:trPr>
        <w:tc>
          <w:tcPr>
            <w:tcW w:w="0" w:type="auto"/>
            <w:vAlign w:val="center"/>
            <w:hideMark/>
          </w:tcPr>
          <w:p w14:paraId="3CAD00C2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  <w:t>CIERRE</w:t>
            </w: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 </w:t>
            </w:r>
            <w:r w:rsidRPr="00283960">
              <w:rPr>
                <w:rFonts w:asciiTheme="minorHAnsi" w:eastAsia="Times New Roman" w:hAnsiTheme="minorHAnsi" w:cstheme="minorHAnsi"/>
                <w:i/>
                <w:iCs/>
                <w:sz w:val="22"/>
                <w:lang w:eastAsia="es-PE"/>
              </w:rPr>
              <w:t>(Duración: 15 minutos)</w:t>
            </w:r>
          </w:p>
        </w:tc>
        <w:tc>
          <w:tcPr>
            <w:tcW w:w="8050" w:type="dxa"/>
            <w:vAlign w:val="center"/>
            <w:hideMark/>
          </w:tcPr>
          <w:p w14:paraId="5402F35C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b/>
                <w:bCs/>
                <w:sz w:val="22"/>
                <w:lang w:eastAsia="es-PE"/>
              </w:rPr>
              <w:t>EVALUACIÓN:</w:t>
            </w:r>
          </w:p>
          <w:p w14:paraId="103EE4F2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El estudiante reflexiona sobre su proceso de aprendizaje mediante la técnica de la metacognición, respondiendo de forma oral y escrita en su cuaderno las siguientes preguntas:</w:t>
            </w:r>
          </w:p>
          <w:p w14:paraId="57E1C731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• ¿Qué aprendí hoy?</w:t>
            </w:r>
          </w:p>
          <w:p w14:paraId="0BA3943F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• ¿Qué fue lo más importante de los sistemas de trabajo inca?</w:t>
            </w:r>
          </w:p>
          <w:p w14:paraId="1D7AE884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• ¿Qué dificultades tuve al elaborar mi esquema y cómo las superé?</w:t>
            </w:r>
          </w:p>
          <w:p w14:paraId="0F36C934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• ¿Cómo puedo aplicar este aprendizaje revalorando las prácticas de mi comunidad?</w:t>
            </w:r>
          </w:p>
          <w:p w14:paraId="43D17AAD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>• ¿Qué compromiso ciudadano asumo a partir de lo aprendido para fortalecer la ayuda mutua en mi escuela y comunidad?</w:t>
            </w:r>
          </w:p>
          <w:p w14:paraId="565C0DD2" w14:textId="77777777" w:rsidR="00A12206" w:rsidRPr="00283960" w:rsidRDefault="00A12206" w:rsidP="001F709C">
            <w:pPr>
              <w:spacing w:after="0" w:line="240" w:lineRule="auto"/>
              <w:ind w:firstLine="0"/>
              <w:rPr>
                <w:rFonts w:asciiTheme="minorHAnsi" w:eastAsia="Times New Roman" w:hAnsiTheme="minorHAnsi" w:cstheme="minorHAnsi"/>
                <w:sz w:val="22"/>
                <w:lang w:eastAsia="es-PE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es-PE"/>
              </w:rPr>
              <w:t>La</w:t>
            </w:r>
            <w:r w:rsidRPr="00283960">
              <w:rPr>
                <w:rFonts w:asciiTheme="minorHAnsi" w:eastAsia="Times New Roman" w:hAnsiTheme="minorHAnsi" w:cstheme="minorHAnsi"/>
                <w:sz w:val="22"/>
                <w:lang w:eastAsia="es-PE"/>
              </w:rPr>
              <w:t xml:space="preserve"> docente brinda una devolución descriptiva, reflexiva y orientadora sobre la calidad de las producciones logradas, consolidando los desempeños observados mediante la lista de cotejo.</w:t>
            </w:r>
          </w:p>
        </w:tc>
      </w:tr>
    </w:tbl>
    <w:p w14:paraId="39ABBEAF" w14:textId="77777777" w:rsidR="00A12206" w:rsidRDefault="00A12206" w:rsidP="00A12206">
      <w:pPr>
        <w:spacing w:after="0" w:line="240" w:lineRule="auto"/>
        <w:ind w:firstLine="0"/>
        <w:outlineLvl w:val="1"/>
        <w:rPr>
          <w:rFonts w:asciiTheme="minorHAnsi" w:eastAsia="Times New Roman" w:hAnsiTheme="minorHAnsi" w:cstheme="minorHAnsi"/>
          <w:b/>
          <w:bCs/>
          <w:sz w:val="22"/>
          <w:lang w:eastAsia="es-PE"/>
        </w:rPr>
      </w:pPr>
    </w:p>
    <w:p w14:paraId="19953C47" w14:textId="77777777" w:rsidR="00A12206" w:rsidRDefault="00A12206" w:rsidP="00A12206">
      <w:pPr>
        <w:spacing w:after="0" w:line="240" w:lineRule="auto"/>
        <w:ind w:firstLine="0"/>
        <w:outlineLvl w:val="1"/>
        <w:rPr>
          <w:rFonts w:asciiTheme="minorHAnsi" w:eastAsia="Times New Roman" w:hAnsiTheme="minorHAnsi" w:cstheme="minorHAnsi"/>
          <w:b/>
          <w:bCs/>
          <w:sz w:val="22"/>
          <w:lang w:eastAsia="es-PE"/>
        </w:rPr>
      </w:pPr>
    </w:p>
    <w:p w14:paraId="07CBE4EB" w14:textId="0CBF14FF" w:rsidR="00A12206" w:rsidRPr="00283960" w:rsidRDefault="00A12206" w:rsidP="00A12206">
      <w:pPr>
        <w:spacing w:after="0" w:line="240" w:lineRule="auto"/>
        <w:ind w:firstLine="0"/>
        <w:outlineLvl w:val="1"/>
        <w:rPr>
          <w:rFonts w:asciiTheme="minorHAnsi" w:eastAsia="Times New Roman" w:hAnsiTheme="minorHAnsi" w:cstheme="minorHAnsi"/>
          <w:b/>
          <w:bCs/>
          <w:sz w:val="22"/>
          <w:lang w:eastAsia="es-PE"/>
        </w:rPr>
      </w:pPr>
      <w:r w:rsidRPr="00283960">
        <w:rPr>
          <w:rFonts w:asciiTheme="minorHAnsi" w:eastAsia="Times New Roman" w:hAnsiTheme="minorHAnsi" w:cstheme="minorHAnsi"/>
          <w:b/>
          <w:bCs/>
          <w:sz w:val="22"/>
          <w:lang w:eastAsia="es-PE"/>
        </w:rPr>
        <w:lastRenderedPageBreak/>
        <w:t>IV. ANEXOS</w:t>
      </w:r>
    </w:p>
    <w:p w14:paraId="3419C9A3" w14:textId="77777777" w:rsidR="00A12206" w:rsidRPr="00283960" w:rsidRDefault="00A12206" w:rsidP="00A12206">
      <w:pPr>
        <w:numPr>
          <w:ilvl w:val="0"/>
          <w:numId w:val="2"/>
        </w:numPr>
        <w:spacing w:after="0" w:line="240" w:lineRule="auto"/>
        <w:rPr>
          <w:rFonts w:asciiTheme="minorHAnsi" w:eastAsia="Times New Roman" w:hAnsiTheme="minorHAnsi" w:cstheme="minorHAnsi"/>
          <w:sz w:val="22"/>
          <w:lang w:eastAsia="es-PE"/>
        </w:rPr>
      </w:pPr>
      <w:r w:rsidRPr="00283960">
        <w:rPr>
          <w:rFonts w:asciiTheme="minorHAnsi" w:eastAsia="Times New Roman" w:hAnsiTheme="minorHAnsi" w:cstheme="minorHAnsi"/>
          <w:b/>
          <w:bCs/>
          <w:sz w:val="22"/>
          <w:lang w:eastAsia="es-PE"/>
        </w:rPr>
        <w:t>Anexo 1:</w:t>
      </w:r>
      <w:r w:rsidRPr="00283960">
        <w:rPr>
          <w:rFonts w:asciiTheme="minorHAnsi" w:eastAsia="Times New Roman" w:hAnsiTheme="minorHAnsi" w:cstheme="minorHAnsi"/>
          <w:sz w:val="22"/>
          <w:lang w:eastAsia="es-PE"/>
        </w:rPr>
        <w:t xml:space="preserve"> Texto escolar de Historia, Geografía y Economía (Páginas 94 y 95) sobre la organización económica y sistemas de trabajo en el Tahuantinsuyo (</w:t>
      </w:r>
      <w:proofErr w:type="spellStart"/>
      <w:r w:rsidRPr="00283960">
        <w:rPr>
          <w:rFonts w:asciiTheme="minorHAnsi" w:eastAsia="Times New Roman" w:hAnsiTheme="minorHAnsi" w:cstheme="minorHAnsi"/>
          <w:i/>
          <w:iCs/>
          <w:sz w:val="22"/>
          <w:lang w:eastAsia="es-PE"/>
        </w:rPr>
        <w:t>ayni</w:t>
      </w:r>
      <w:proofErr w:type="spellEnd"/>
      <w:r w:rsidRPr="00283960">
        <w:rPr>
          <w:rFonts w:asciiTheme="minorHAnsi" w:eastAsia="Times New Roman" w:hAnsiTheme="minorHAnsi" w:cstheme="minorHAnsi"/>
          <w:sz w:val="22"/>
          <w:lang w:eastAsia="es-PE"/>
        </w:rPr>
        <w:t xml:space="preserve">, </w:t>
      </w:r>
      <w:proofErr w:type="spellStart"/>
      <w:r w:rsidRPr="00283960">
        <w:rPr>
          <w:rFonts w:asciiTheme="minorHAnsi" w:eastAsia="Times New Roman" w:hAnsiTheme="minorHAnsi" w:cstheme="minorHAnsi"/>
          <w:i/>
          <w:iCs/>
          <w:sz w:val="22"/>
          <w:lang w:eastAsia="es-PE"/>
        </w:rPr>
        <w:t>minka</w:t>
      </w:r>
      <w:proofErr w:type="spellEnd"/>
      <w:r w:rsidRPr="00283960">
        <w:rPr>
          <w:rFonts w:asciiTheme="minorHAnsi" w:eastAsia="Times New Roman" w:hAnsiTheme="minorHAnsi" w:cstheme="minorHAnsi"/>
          <w:sz w:val="22"/>
          <w:lang w:eastAsia="es-PE"/>
        </w:rPr>
        <w:t xml:space="preserve"> y </w:t>
      </w:r>
      <w:r w:rsidRPr="00283960">
        <w:rPr>
          <w:rFonts w:asciiTheme="minorHAnsi" w:eastAsia="Times New Roman" w:hAnsiTheme="minorHAnsi" w:cstheme="minorHAnsi"/>
          <w:i/>
          <w:iCs/>
          <w:sz w:val="22"/>
          <w:lang w:eastAsia="es-PE"/>
        </w:rPr>
        <w:t>mita</w:t>
      </w:r>
      <w:r w:rsidRPr="00283960">
        <w:rPr>
          <w:rFonts w:asciiTheme="minorHAnsi" w:eastAsia="Times New Roman" w:hAnsiTheme="minorHAnsi" w:cstheme="minorHAnsi"/>
          <w:sz w:val="22"/>
          <w:lang w:eastAsia="es-PE"/>
        </w:rPr>
        <w:t>).</w:t>
      </w:r>
    </w:p>
    <w:p w14:paraId="5C5949E1" w14:textId="77777777" w:rsidR="00A12206" w:rsidRPr="00283960" w:rsidRDefault="00A12206" w:rsidP="00A12206">
      <w:pPr>
        <w:numPr>
          <w:ilvl w:val="0"/>
          <w:numId w:val="2"/>
        </w:numPr>
        <w:spacing w:after="0" w:line="240" w:lineRule="auto"/>
        <w:rPr>
          <w:rFonts w:asciiTheme="minorHAnsi" w:eastAsia="Times New Roman" w:hAnsiTheme="minorHAnsi" w:cstheme="minorHAnsi"/>
          <w:sz w:val="22"/>
          <w:lang w:eastAsia="es-PE"/>
        </w:rPr>
      </w:pPr>
      <w:r w:rsidRPr="00283960">
        <w:rPr>
          <w:rFonts w:asciiTheme="minorHAnsi" w:eastAsia="Times New Roman" w:hAnsiTheme="minorHAnsi" w:cstheme="minorHAnsi"/>
          <w:b/>
          <w:bCs/>
          <w:sz w:val="22"/>
          <w:lang w:eastAsia="es-PE"/>
        </w:rPr>
        <w:t>Anexo 2:</w:t>
      </w:r>
      <w:r w:rsidRPr="00283960">
        <w:rPr>
          <w:rFonts w:asciiTheme="minorHAnsi" w:eastAsia="Times New Roman" w:hAnsiTheme="minorHAnsi" w:cstheme="minorHAnsi"/>
          <w:sz w:val="22"/>
          <w:lang w:eastAsia="es-PE"/>
        </w:rPr>
        <w:t xml:space="preserve"> Ficha informativa complementaria con esquemas comparativos sobre los sistemas de trabajo inca y su vinculación con la reciprocidad y redistribución.</w:t>
      </w:r>
    </w:p>
    <w:p w14:paraId="68742A82" w14:textId="77777777" w:rsidR="00A12206" w:rsidRPr="00283960" w:rsidRDefault="00A12206" w:rsidP="00A12206">
      <w:pPr>
        <w:numPr>
          <w:ilvl w:val="0"/>
          <w:numId w:val="2"/>
        </w:numPr>
        <w:spacing w:after="0" w:line="240" w:lineRule="auto"/>
        <w:rPr>
          <w:rFonts w:asciiTheme="minorHAnsi" w:eastAsia="Times New Roman" w:hAnsiTheme="minorHAnsi" w:cstheme="minorHAnsi"/>
          <w:sz w:val="22"/>
          <w:lang w:eastAsia="es-PE"/>
        </w:rPr>
      </w:pPr>
      <w:r w:rsidRPr="00283960">
        <w:rPr>
          <w:rFonts w:asciiTheme="minorHAnsi" w:eastAsia="Times New Roman" w:hAnsiTheme="minorHAnsi" w:cstheme="minorHAnsi"/>
          <w:b/>
          <w:bCs/>
          <w:sz w:val="22"/>
          <w:lang w:eastAsia="es-PE"/>
        </w:rPr>
        <w:t>Anexo 3:</w:t>
      </w:r>
      <w:r w:rsidRPr="00283960">
        <w:rPr>
          <w:rFonts w:asciiTheme="minorHAnsi" w:eastAsia="Times New Roman" w:hAnsiTheme="minorHAnsi" w:cstheme="minorHAnsi"/>
          <w:sz w:val="22"/>
          <w:lang w:eastAsia="es-PE"/>
        </w:rPr>
        <w:t xml:space="preserve"> Instrumento de evaluación (Lista de cotejo para 24 estudiantes).</w:t>
      </w:r>
    </w:p>
    <w:p w14:paraId="5BF8E733" w14:textId="77777777" w:rsidR="0074576E" w:rsidRDefault="0074576E"/>
    <w:sectPr w:rsidR="0074576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61FFE"/>
    <w:multiLevelType w:val="multilevel"/>
    <w:tmpl w:val="15DAA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5028F4"/>
    <w:multiLevelType w:val="multilevel"/>
    <w:tmpl w:val="AF6E8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8195287">
    <w:abstractNumId w:val="0"/>
  </w:num>
  <w:num w:numId="2" w16cid:durableId="1442067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206"/>
    <w:rsid w:val="00075A9E"/>
    <w:rsid w:val="002B5E6F"/>
    <w:rsid w:val="00481C41"/>
    <w:rsid w:val="0068176E"/>
    <w:rsid w:val="00732E50"/>
    <w:rsid w:val="0074576E"/>
    <w:rsid w:val="00A12206"/>
    <w:rsid w:val="00C324F4"/>
    <w:rsid w:val="00C870A9"/>
    <w:rsid w:val="00EE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F8429B"/>
  <w15:chartTrackingRefBased/>
  <w15:docId w15:val="{0148974A-6B56-43DC-BE00-C93DA2A05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206"/>
    <w:pPr>
      <w:spacing w:after="200" w:line="480" w:lineRule="auto"/>
      <w:ind w:firstLine="720"/>
    </w:pPr>
    <w:rPr>
      <w:rFonts w:ascii="Times New Roman" w:hAnsi="Times New Roman"/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122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122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1220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1220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220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220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220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220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220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12206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220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2206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2206"/>
    <w:rPr>
      <w:rFonts w:eastAsiaTheme="majorEastAsia" w:cstheme="majorBidi"/>
      <w:i/>
      <w:iCs/>
      <w:color w:val="2F5496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2206"/>
    <w:rPr>
      <w:rFonts w:eastAsiaTheme="majorEastAsia" w:cstheme="majorBidi"/>
      <w:color w:val="2F5496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2206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2206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2206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2206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A122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1220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A12206"/>
    <w:pPr>
      <w:numPr>
        <w:ilvl w:val="1"/>
      </w:numPr>
      <w:spacing w:after="160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12206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A122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12206"/>
    <w:rPr>
      <w:rFonts w:ascii="Times New Roman" w:hAnsi="Times New Roman"/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A1220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1220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122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12206"/>
    <w:rPr>
      <w:rFonts w:ascii="Times New Roman" w:hAnsi="Times New Roman"/>
      <w:i/>
      <w:iCs/>
      <w:color w:val="2F5496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A122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1122</Words>
  <Characters>6172</Characters>
  <Application>Microsoft Office Word</Application>
  <DocSecurity>0</DocSecurity>
  <Lines>51</Lines>
  <Paragraphs>14</Paragraphs>
  <ScaleCrop>false</ScaleCrop>
  <Company/>
  <LinksUpToDate>false</LinksUpToDate>
  <CharactersWithSpaces>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 Joyas Gamarra</dc:creator>
  <cp:keywords/>
  <dc:description/>
  <cp:lastModifiedBy>Elsa Joyas Gamarra</cp:lastModifiedBy>
  <cp:revision>2</cp:revision>
  <dcterms:created xsi:type="dcterms:W3CDTF">2026-10-08T00:28:00Z</dcterms:created>
  <dcterms:modified xsi:type="dcterms:W3CDTF">2026-10-08T00:28:00Z</dcterms:modified>
</cp:coreProperties>
</file>