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6AB85" w14:textId="109488A4" w:rsidR="008E5C8D" w:rsidRDefault="005A3215" w:rsidP="008E5C8D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 xml:space="preserve">SESIÓN DE APRENDIZAJE </w:t>
      </w:r>
      <w:r w:rsidR="003428CB">
        <w:rPr>
          <w:rFonts w:ascii="Arial" w:hAnsi="Arial" w:cs="Arial"/>
          <w:b/>
          <w:bCs/>
          <w:sz w:val="18"/>
          <w:szCs w:val="18"/>
          <w:lang w:val="es-MX"/>
        </w:rPr>
        <w:t xml:space="preserve"> </w:t>
      </w:r>
      <w:proofErr w:type="spellStart"/>
      <w:r w:rsidR="0061667A">
        <w:rPr>
          <w:rFonts w:ascii="Arial" w:hAnsi="Arial" w:cs="Arial"/>
          <w:b/>
          <w:bCs/>
          <w:sz w:val="18"/>
          <w:szCs w:val="18"/>
          <w:lang w:val="es-MX"/>
        </w:rPr>
        <w:t>N°</w:t>
      </w:r>
      <w:proofErr w:type="spellEnd"/>
      <w:r w:rsidR="0061667A">
        <w:rPr>
          <w:rFonts w:ascii="Arial" w:hAnsi="Arial" w:cs="Arial"/>
          <w:b/>
          <w:bCs/>
          <w:sz w:val="18"/>
          <w:szCs w:val="18"/>
          <w:lang w:val="es-MX"/>
        </w:rPr>
        <w:t xml:space="preserve"> </w:t>
      </w:r>
      <w:r w:rsidR="00F468F7">
        <w:rPr>
          <w:rFonts w:ascii="Arial" w:hAnsi="Arial" w:cs="Arial"/>
          <w:b/>
          <w:bCs/>
          <w:sz w:val="18"/>
          <w:szCs w:val="18"/>
          <w:lang w:val="es-MX"/>
        </w:rPr>
        <w:t>3</w:t>
      </w:r>
    </w:p>
    <w:p w14:paraId="19AECD75" w14:textId="47F86BDA" w:rsidR="008E5C8D" w:rsidRPr="00173062" w:rsidRDefault="00173062" w:rsidP="00927D92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  <w:r w:rsidRPr="00173062">
        <w:rPr>
          <w:rFonts w:ascii="Arial" w:hAnsi="Arial" w:cs="Arial"/>
          <w:b/>
          <w:bCs/>
          <w:sz w:val="18"/>
          <w:szCs w:val="18"/>
          <w:lang w:val="es-MX"/>
        </w:rPr>
        <w:t xml:space="preserve"> </w:t>
      </w:r>
      <w:r w:rsidRPr="00173062">
        <w:rPr>
          <w:b/>
          <w:bCs/>
        </w:rPr>
        <w:t>“EL SISTEMA FINANCIERO PERUANO: ¿DÓNDE Y CÓMO PROTEGER MI DINERO?</w:t>
      </w:r>
      <w:r w:rsidRPr="00173062">
        <w:rPr>
          <w:rFonts w:ascii="Arial" w:hAnsi="Arial" w:cs="Arial"/>
          <w:b/>
          <w:bCs/>
          <w:sz w:val="18"/>
          <w:szCs w:val="18"/>
        </w:rPr>
        <w:t>”</w:t>
      </w:r>
    </w:p>
    <w:p w14:paraId="620CC78F" w14:textId="77777777" w:rsidR="00242CE5" w:rsidRPr="00242CE5" w:rsidRDefault="00242CE5" w:rsidP="008E5C8D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1F50B2C9" w14:textId="77777777" w:rsidR="008E5C8D" w:rsidRPr="00102394" w:rsidRDefault="008E5C8D" w:rsidP="008E5C8D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MX"/>
        </w:rPr>
      </w:pPr>
      <w:r w:rsidRPr="00102394">
        <w:rPr>
          <w:rFonts w:ascii="Arial" w:hAnsi="Arial" w:cs="Arial"/>
          <w:b/>
          <w:bCs/>
          <w:sz w:val="18"/>
          <w:szCs w:val="18"/>
          <w:lang w:val="es-MX"/>
        </w:rPr>
        <w:t>I. DATOS INFORMATIVOS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55"/>
        <w:gridCol w:w="2831"/>
        <w:gridCol w:w="1417"/>
        <w:gridCol w:w="1574"/>
        <w:gridCol w:w="1417"/>
        <w:gridCol w:w="1417"/>
      </w:tblGrid>
      <w:tr w:rsidR="008E5C8D" w:rsidRPr="00A27927" w14:paraId="3AFDFC24" w14:textId="77777777" w:rsidTr="00696FEA">
        <w:tc>
          <w:tcPr>
            <w:tcW w:w="633" w:type="pct"/>
          </w:tcPr>
          <w:p w14:paraId="75E789D4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Director (a)</w:t>
            </w:r>
          </w:p>
        </w:tc>
        <w:tc>
          <w:tcPr>
            <w:tcW w:w="1428" w:type="pct"/>
          </w:tcPr>
          <w:p w14:paraId="4E9F8ECA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Percy A. Huillca Zavala</w:t>
            </w:r>
          </w:p>
        </w:tc>
        <w:tc>
          <w:tcPr>
            <w:tcW w:w="715" w:type="pct"/>
          </w:tcPr>
          <w:p w14:paraId="5A35B020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27927">
              <w:rPr>
                <w:rFonts w:ascii="Arial" w:hAnsi="Arial" w:cs="Arial"/>
                <w:sz w:val="18"/>
                <w:szCs w:val="18"/>
              </w:rPr>
              <w:t>Ugel</w:t>
            </w:r>
            <w:proofErr w:type="spellEnd"/>
            <w:r w:rsidRPr="00A2792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94" w:type="pct"/>
          </w:tcPr>
          <w:p w14:paraId="58B2A62C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Sur</w:t>
            </w:r>
          </w:p>
        </w:tc>
        <w:tc>
          <w:tcPr>
            <w:tcW w:w="715" w:type="pct"/>
          </w:tcPr>
          <w:p w14:paraId="589DCB10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 xml:space="preserve">Grado y </w:t>
            </w:r>
            <w:proofErr w:type="spellStart"/>
            <w:r w:rsidRPr="00A27927">
              <w:rPr>
                <w:rFonts w:ascii="Arial" w:hAnsi="Arial" w:cs="Arial"/>
                <w:sz w:val="18"/>
                <w:szCs w:val="18"/>
              </w:rPr>
              <w:t>secc</w:t>
            </w:r>
            <w:proofErr w:type="spellEnd"/>
          </w:p>
        </w:tc>
        <w:tc>
          <w:tcPr>
            <w:tcW w:w="715" w:type="pct"/>
          </w:tcPr>
          <w:p w14:paraId="3883FFED" w14:textId="6B8C7063" w:rsidR="008E5C8D" w:rsidRPr="00A27927" w:rsidRDefault="00012DA2" w:rsidP="00696FE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8E5C8D" w:rsidRPr="00A27927">
              <w:rPr>
                <w:rFonts w:ascii="Arial" w:hAnsi="Arial" w:cs="Arial"/>
                <w:sz w:val="18"/>
                <w:szCs w:val="18"/>
              </w:rPr>
              <w:t xml:space="preserve"> A. B y C</w:t>
            </w:r>
          </w:p>
        </w:tc>
      </w:tr>
      <w:tr w:rsidR="008E5C8D" w:rsidRPr="00A27927" w14:paraId="37251617" w14:textId="77777777" w:rsidTr="00696FEA">
        <w:tc>
          <w:tcPr>
            <w:tcW w:w="633" w:type="pct"/>
          </w:tcPr>
          <w:p w14:paraId="3CBED123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 xml:space="preserve">Sub </w:t>
            </w:r>
            <w:proofErr w:type="spellStart"/>
            <w:r w:rsidRPr="00A27927">
              <w:rPr>
                <w:rFonts w:ascii="Arial" w:hAnsi="Arial" w:cs="Arial"/>
                <w:sz w:val="18"/>
                <w:szCs w:val="18"/>
              </w:rPr>
              <w:t>Dir</w:t>
            </w:r>
            <w:proofErr w:type="spellEnd"/>
            <w:r w:rsidRPr="00A27927">
              <w:rPr>
                <w:rFonts w:ascii="Arial" w:hAnsi="Arial" w:cs="Arial"/>
                <w:sz w:val="18"/>
                <w:szCs w:val="18"/>
              </w:rPr>
              <w:t xml:space="preserve"> (a)</w:t>
            </w:r>
          </w:p>
        </w:tc>
        <w:tc>
          <w:tcPr>
            <w:tcW w:w="1428" w:type="pct"/>
          </w:tcPr>
          <w:p w14:paraId="7F6A004E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 xml:space="preserve">Lourdes Teresa Lima </w:t>
            </w:r>
            <w:proofErr w:type="spellStart"/>
            <w:r w:rsidRPr="00A27927">
              <w:rPr>
                <w:rFonts w:ascii="Arial" w:hAnsi="Arial" w:cs="Arial"/>
                <w:sz w:val="18"/>
                <w:szCs w:val="18"/>
              </w:rPr>
              <w:t>Chaiña</w:t>
            </w:r>
            <w:proofErr w:type="spellEnd"/>
          </w:p>
        </w:tc>
        <w:tc>
          <w:tcPr>
            <w:tcW w:w="715" w:type="pct"/>
          </w:tcPr>
          <w:p w14:paraId="209AB350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AREA</w:t>
            </w:r>
          </w:p>
        </w:tc>
        <w:tc>
          <w:tcPr>
            <w:tcW w:w="794" w:type="pct"/>
          </w:tcPr>
          <w:p w14:paraId="69DDCB04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EPT</w:t>
            </w:r>
          </w:p>
        </w:tc>
        <w:tc>
          <w:tcPr>
            <w:tcW w:w="715" w:type="pct"/>
          </w:tcPr>
          <w:p w14:paraId="7CC2592D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715" w:type="pct"/>
          </w:tcPr>
          <w:p w14:paraId="46E415CC" w14:textId="6E4FAB7F" w:rsidR="008E5C8D" w:rsidRPr="00A27927" w:rsidRDefault="00F468F7" w:rsidP="00696FE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7 setiembre</w:t>
            </w:r>
          </w:p>
        </w:tc>
      </w:tr>
      <w:tr w:rsidR="008E5C8D" w:rsidRPr="00A27927" w14:paraId="6DD0AD40" w14:textId="77777777" w:rsidTr="00696FEA">
        <w:tc>
          <w:tcPr>
            <w:tcW w:w="633" w:type="pct"/>
          </w:tcPr>
          <w:p w14:paraId="24CD482C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Docente</w:t>
            </w:r>
          </w:p>
        </w:tc>
        <w:tc>
          <w:tcPr>
            <w:tcW w:w="1428" w:type="pct"/>
          </w:tcPr>
          <w:p w14:paraId="72569553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Francis R. Chávez Paredes</w:t>
            </w:r>
          </w:p>
        </w:tc>
        <w:tc>
          <w:tcPr>
            <w:tcW w:w="715" w:type="pct"/>
          </w:tcPr>
          <w:p w14:paraId="7EAB8D15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CICLO</w:t>
            </w:r>
          </w:p>
        </w:tc>
        <w:tc>
          <w:tcPr>
            <w:tcW w:w="794" w:type="pct"/>
          </w:tcPr>
          <w:p w14:paraId="16504941" w14:textId="77777777" w:rsidR="008E5C8D" w:rsidRPr="00A27927" w:rsidRDefault="008E5C8D" w:rsidP="00696FE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VII</w:t>
            </w:r>
          </w:p>
        </w:tc>
        <w:tc>
          <w:tcPr>
            <w:tcW w:w="715" w:type="pct"/>
          </w:tcPr>
          <w:p w14:paraId="21170860" w14:textId="77777777" w:rsidR="008E5C8D" w:rsidRPr="00A27927" w:rsidRDefault="008E5C8D" w:rsidP="00696FE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A27927">
              <w:rPr>
                <w:rFonts w:ascii="Arial" w:hAnsi="Arial" w:cs="Arial"/>
                <w:bCs/>
                <w:sz w:val="18"/>
                <w:szCs w:val="18"/>
              </w:rPr>
              <w:t xml:space="preserve">Duración </w:t>
            </w:r>
          </w:p>
        </w:tc>
        <w:tc>
          <w:tcPr>
            <w:tcW w:w="715" w:type="pct"/>
          </w:tcPr>
          <w:p w14:paraId="0BA9027A" w14:textId="77777777" w:rsidR="008E5C8D" w:rsidRPr="00A27927" w:rsidRDefault="008E5C8D" w:rsidP="00696FE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A27927">
              <w:rPr>
                <w:rFonts w:ascii="Arial" w:hAnsi="Arial" w:cs="Arial"/>
                <w:bCs/>
                <w:sz w:val="18"/>
                <w:szCs w:val="18"/>
              </w:rPr>
              <w:t>2 horas</w:t>
            </w:r>
          </w:p>
        </w:tc>
      </w:tr>
    </w:tbl>
    <w:p w14:paraId="79937385" w14:textId="77777777" w:rsidR="00FD04E7" w:rsidRPr="00211B9D" w:rsidRDefault="00FD04E7" w:rsidP="00C46773">
      <w:pPr>
        <w:spacing w:after="0"/>
        <w:jc w:val="both"/>
        <w:rPr>
          <w:rFonts w:ascii="Arial" w:hAnsi="Arial" w:cs="Arial"/>
          <w:bCs/>
          <w:sz w:val="18"/>
          <w:szCs w:val="18"/>
          <w:lang w:val="es-MX"/>
        </w:rPr>
      </w:pPr>
    </w:p>
    <w:p w14:paraId="33A4796E" w14:textId="3FCD0B84" w:rsidR="00E27E19" w:rsidRPr="00E27E19" w:rsidRDefault="00E27E19" w:rsidP="00E27E19">
      <w:pPr>
        <w:pStyle w:val="Prrafodelista"/>
        <w:ind w:left="567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b/>
          <w:bCs/>
          <w:sz w:val="18"/>
          <w:szCs w:val="18"/>
        </w:rPr>
        <w:t>II. PROPÓSITO DE APRENDIZAJE</w:t>
      </w:r>
      <w:r>
        <w:rPr>
          <w:rFonts w:ascii="Arial" w:hAnsi="Arial" w:cs="Arial"/>
          <w:b/>
          <w:bCs/>
          <w:sz w:val="18"/>
          <w:szCs w:val="18"/>
        </w:rPr>
        <w:t xml:space="preserve"> .- </w:t>
      </w:r>
      <w:r w:rsidRPr="00E27E19">
        <w:rPr>
          <w:rFonts w:ascii="Arial" w:hAnsi="Arial" w:cs="Arial"/>
          <w:sz w:val="18"/>
          <w:szCs w:val="18"/>
        </w:rPr>
        <w:t>Que los estudiantes comprendan la función del sistema financiero peruano, diferencien las principales instituciones financieras y reconozcan medidas básicas para proteger sus ahorros, a fin de tomar decisiones informadas y responsables sobre el manejo de su dinero.</w:t>
      </w:r>
    </w:p>
    <w:p w14:paraId="10E940A3" w14:textId="77093473" w:rsidR="00E27E19" w:rsidRPr="00E27E19" w:rsidRDefault="00E27E19" w:rsidP="00E27E19">
      <w:pPr>
        <w:pStyle w:val="Prrafodelista"/>
        <w:ind w:left="567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b/>
          <w:bCs/>
          <w:sz w:val="18"/>
          <w:szCs w:val="18"/>
        </w:rPr>
        <w:t>III. COMPETENCIA</w:t>
      </w:r>
      <w:r>
        <w:rPr>
          <w:rFonts w:ascii="Arial" w:hAnsi="Arial" w:cs="Arial"/>
          <w:b/>
          <w:bCs/>
          <w:sz w:val="18"/>
          <w:szCs w:val="18"/>
        </w:rPr>
        <w:t xml:space="preserve">.- </w:t>
      </w:r>
      <w:r w:rsidRPr="00E27E19">
        <w:rPr>
          <w:rFonts w:ascii="Arial" w:hAnsi="Arial" w:cs="Arial"/>
          <w:sz w:val="18"/>
          <w:szCs w:val="18"/>
        </w:rPr>
        <w:t>Gestiona proyectos de emprendimiento económico o social.</w:t>
      </w:r>
    </w:p>
    <w:p w14:paraId="5F617119" w14:textId="77777777" w:rsidR="00E27E19" w:rsidRPr="00E27E19" w:rsidRDefault="00E27E19" w:rsidP="00E27E19">
      <w:pPr>
        <w:pStyle w:val="Prrafodelista"/>
        <w:ind w:left="567" w:hanging="567"/>
        <w:rPr>
          <w:rFonts w:ascii="Arial" w:hAnsi="Arial" w:cs="Arial"/>
          <w:b/>
          <w:bCs/>
          <w:sz w:val="18"/>
          <w:szCs w:val="18"/>
        </w:rPr>
      </w:pPr>
      <w:r w:rsidRPr="00E27E19">
        <w:rPr>
          <w:rFonts w:ascii="Arial" w:hAnsi="Arial" w:cs="Arial"/>
          <w:b/>
          <w:bCs/>
          <w:sz w:val="18"/>
          <w:szCs w:val="18"/>
        </w:rPr>
        <w:t>IV. CAPACIDADES</w:t>
      </w:r>
    </w:p>
    <w:p w14:paraId="383CBBA7" w14:textId="77777777" w:rsidR="00E27E19" w:rsidRPr="00E27E19" w:rsidRDefault="00E27E19">
      <w:pPr>
        <w:pStyle w:val="Prrafodelista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Crea propuestas de valor.</w:t>
      </w:r>
    </w:p>
    <w:p w14:paraId="0CF7BAE8" w14:textId="77777777" w:rsidR="00E27E19" w:rsidRPr="00E27E19" w:rsidRDefault="00E27E19">
      <w:pPr>
        <w:pStyle w:val="Prrafodelista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Aplica habilidades técnicas.</w:t>
      </w:r>
    </w:p>
    <w:p w14:paraId="16CA0377" w14:textId="77777777" w:rsidR="00E27E19" w:rsidRPr="00E27E19" w:rsidRDefault="00E27E19">
      <w:pPr>
        <w:pStyle w:val="Prrafodelista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Trabaja cooperativamente para lograr objetivos y metas.</w:t>
      </w:r>
    </w:p>
    <w:p w14:paraId="5EF3B403" w14:textId="77777777" w:rsidR="00E27E19" w:rsidRPr="00E27E19" w:rsidRDefault="00E27E19">
      <w:pPr>
        <w:pStyle w:val="Prrafodelista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Evalúa los resultados del proyecto de emprendimiento.</w:t>
      </w:r>
    </w:p>
    <w:p w14:paraId="464DB161" w14:textId="77777777" w:rsidR="00E27E19" w:rsidRPr="00E27E19" w:rsidRDefault="00E27E19" w:rsidP="00E27E19">
      <w:pPr>
        <w:pStyle w:val="Prrafodelista"/>
        <w:ind w:left="567" w:hanging="567"/>
        <w:rPr>
          <w:rFonts w:ascii="Arial" w:hAnsi="Arial" w:cs="Arial"/>
          <w:b/>
          <w:bCs/>
          <w:sz w:val="18"/>
          <w:szCs w:val="18"/>
        </w:rPr>
      </w:pPr>
      <w:r w:rsidRPr="00E27E19">
        <w:rPr>
          <w:rFonts w:ascii="Arial" w:hAnsi="Arial" w:cs="Arial"/>
          <w:b/>
          <w:bCs/>
          <w:sz w:val="18"/>
          <w:szCs w:val="18"/>
        </w:rPr>
        <w:t>V. DESEMPEÑO ESPERADO</w:t>
      </w:r>
    </w:p>
    <w:p w14:paraId="2D9AAB5C" w14:textId="77777777" w:rsidR="00E27E19" w:rsidRPr="00E27E19" w:rsidRDefault="00E27E19">
      <w:pPr>
        <w:pStyle w:val="Prrafodelista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Identifica instituciones del sistema financiero peruano y explica sus funciones principales.</w:t>
      </w:r>
    </w:p>
    <w:p w14:paraId="21ACA916" w14:textId="77777777" w:rsidR="00E27E19" w:rsidRPr="00E27E19" w:rsidRDefault="00E27E19">
      <w:pPr>
        <w:pStyle w:val="Prrafodelista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Compara características básicas de bancos, cajas municipales y financieras.</w:t>
      </w:r>
    </w:p>
    <w:p w14:paraId="77DF8176" w14:textId="77777777" w:rsidR="00E27E19" w:rsidRPr="00E27E19" w:rsidRDefault="00E27E19">
      <w:pPr>
        <w:pStyle w:val="Prrafodelista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Reconoce la importancia de verificar que una entidad esté autorizada y de conocer las condiciones de los productos financieros.</w:t>
      </w:r>
    </w:p>
    <w:p w14:paraId="54768F37" w14:textId="77777777" w:rsidR="00E27E19" w:rsidRPr="00E27E19" w:rsidRDefault="00E27E19">
      <w:pPr>
        <w:pStyle w:val="Prrafodelista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Propone decisiones responsables para proteger el dinero destinado al ahorro o a un</w:t>
      </w:r>
    </w:p>
    <w:p w14:paraId="67E23A45" w14:textId="77777777" w:rsidR="008E5C8D" w:rsidRDefault="008E5C8D" w:rsidP="008E5C8D">
      <w:pPr>
        <w:pStyle w:val="Prrafodelista"/>
        <w:ind w:left="567" w:hanging="567"/>
        <w:rPr>
          <w:rFonts w:ascii="Arial" w:hAnsi="Arial" w:cs="Arial"/>
          <w:sz w:val="18"/>
          <w:szCs w:val="18"/>
          <w:lang w:val="es-419"/>
        </w:rPr>
      </w:pPr>
    </w:p>
    <w:p w14:paraId="1BBBAF6F" w14:textId="77777777" w:rsidR="00E27E19" w:rsidRPr="00E27E19" w:rsidRDefault="00E27E19" w:rsidP="00E27E19">
      <w:pPr>
        <w:pStyle w:val="Prrafodelista"/>
        <w:ind w:left="567" w:hanging="567"/>
        <w:rPr>
          <w:rFonts w:ascii="Arial" w:hAnsi="Arial" w:cs="Arial"/>
          <w:b/>
          <w:bCs/>
          <w:sz w:val="18"/>
          <w:szCs w:val="18"/>
        </w:rPr>
      </w:pPr>
      <w:r w:rsidRPr="00E27E19">
        <w:rPr>
          <w:rFonts w:ascii="Arial" w:hAnsi="Arial" w:cs="Arial"/>
          <w:b/>
          <w:bCs/>
          <w:sz w:val="18"/>
          <w:szCs w:val="18"/>
        </w:rPr>
        <w:t>VI. CRITERIO DE EVALUACIÓN</w:t>
      </w:r>
    </w:p>
    <w:p w14:paraId="0A45E881" w14:textId="77777777" w:rsidR="00E27E19" w:rsidRPr="00E27E19" w:rsidRDefault="00E27E19" w:rsidP="00E27E19">
      <w:pPr>
        <w:pStyle w:val="Prrafodelista"/>
        <w:ind w:left="567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Identifica y compara las instituciones del sistema financiero peruano (habilidad), explicando sus funciones, diferencias y medidas básicas de seguridad para proteger el dinero (contenido), mediante la elaboración de un organizador visual con ejemplos de decisiones financieras responsables (producto).</w:t>
      </w:r>
    </w:p>
    <w:p w14:paraId="36F552AA" w14:textId="77777777" w:rsidR="00E27E19" w:rsidRPr="00E27E19" w:rsidRDefault="00E27E19" w:rsidP="00E27E19">
      <w:pPr>
        <w:pStyle w:val="Prrafodelista"/>
        <w:ind w:left="567" w:hanging="567"/>
        <w:rPr>
          <w:rFonts w:ascii="Arial" w:hAnsi="Arial" w:cs="Arial"/>
          <w:b/>
          <w:bCs/>
          <w:sz w:val="18"/>
          <w:szCs w:val="18"/>
        </w:rPr>
      </w:pPr>
      <w:r w:rsidRPr="00E27E19">
        <w:rPr>
          <w:rFonts w:ascii="Arial" w:hAnsi="Arial" w:cs="Arial"/>
          <w:b/>
          <w:bCs/>
          <w:sz w:val="18"/>
          <w:szCs w:val="18"/>
        </w:rPr>
        <w:t>VII. EVIDENCIA DE APRENDIZAJE</w:t>
      </w:r>
    </w:p>
    <w:p w14:paraId="7C710744" w14:textId="77777777" w:rsidR="00E27E19" w:rsidRPr="00E27E19" w:rsidRDefault="00E27E19" w:rsidP="00E27E19">
      <w:pPr>
        <w:pStyle w:val="Prrafodelista"/>
        <w:ind w:left="567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Elaboración de un organizador visual del sistema financiero peruano que incluya:</w:t>
      </w:r>
    </w:p>
    <w:p w14:paraId="1730AECC" w14:textId="77777777" w:rsidR="00E27E19" w:rsidRPr="00E27E19" w:rsidRDefault="00E27E19">
      <w:pPr>
        <w:pStyle w:val="Prrafodelista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La función de la Superintendencia de Banca, Seguros y AFP (SBS) y del Banco Central de Reserva del Perú (BCRP).</w:t>
      </w:r>
    </w:p>
    <w:p w14:paraId="41AE7B96" w14:textId="77777777" w:rsidR="00E27E19" w:rsidRPr="00E27E19" w:rsidRDefault="00E27E19">
      <w:pPr>
        <w:pStyle w:val="Prrafodelista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Las características básicas de bancos, cajas municipales y empresas financieras.</w:t>
      </w:r>
    </w:p>
    <w:p w14:paraId="5DC7FB2A" w14:textId="77777777" w:rsidR="00E27E19" w:rsidRPr="00E27E19" w:rsidRDefault="00E27E19">
      <w:pPr>
        <w:pStyle w:val="Prrafodelista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Ejemplos de servicios financieros: ahorro, pagos y créditos.</w:t>
      </w:r>
    </w:p>
    <w:p w14:paraId="5BFB53A5" w14:textId="77777777" w:rsidR="00E27E19" w:rsidRPr="00E27E19" w:rsidRDefault="00E27E19">
      <w:pPr>
        <w:pStyle w:val="Prrafodelista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Tres recomendaciones para proteger el dinero y evitar fraudes.</w:t>
      </w:r>
    </w:p>
    <w:p w14:paraId="53C4D587" w14:textId="77777777" w:rsidR="00E27E19" w:rsidRPr="00E27E19" w:rsidRDefault="00E27E19">
      <w:pPr>
        <w:pStyle w:val="Prrafodelista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Una conclusión sobre qué se debe verificar antes de elegir una entidad financiera.</w:t>
      </w:r>
    </w:p>
    <w:p w14:paraId="41408E29" w14:textId="77777777" w:rsidR="00E27E19" w:rsidRPr="00E27E19" w:rsidRDefault="00E27E19" w:rsidP="00E27E19">
      <w:pPr>
        <w:pStyle w:val="Prrafodelista"/>
        <w:ind w:left="567" w:hanging="567"/>
        <w:rPr>
          <w:rFonts w:ascii="Arial" w:hAnsi="Arial" w:cs="Arial"/>
          <w:b/>
          <w:bCs/>
          <w:sz w:val="18"/>
          <w:szCs w:val="18"/>
        </w:rPr>
      </w:pPr>
      <w:r w:rsidRPr="00E27E19">
        <w:rPr>
          <w:rFonts w:ascii="Arial" w:hAnsi="Arial" w:cs="Arial"/>
          <w:b/>
          <w:bCs/>
          <w:sz w:val="18"/>
          <w:szCs w:val="18"/>
        </w:rPr>
        <w:t>VIII. CAMPO TEMÁTICO</w:t>
      </w:r>
    </w:p>
    <w:p w14:paraId="649A86DF" w14:textId="77777777" w:rsidR="00E27E19" w:rsidRPr="00E27E19" w:rsidRDefault="00E27E19">
      <w:pPr>
        <w:pStyle w:val="Prrafodelista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El sistema financiero peruano.</w:t>
      </w:r>
    </w:p>
    <w:p w14:paraId="1734F9E6" w14:textId="77777777" w:rsidR="00E27E19" w:rsidRPr="00E27E19" w:rsidRDefault="00E27E19">
      <w:pPr>
        <w:pStyle w:val="Prrafodelista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Instituciones reguladoras y sus funciones.</w:t>
      </w:r>
    </w:p>
    <w:p w14:paraId="66639AB5" w14:textId="77777777" w:rsidR="00E27E19" w:rsidRPr="00E27E19" w:rsidRDefault="00E27E19">
      <w:pPr>
        <w:pStyle w:val="Prrafodelista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Bancos, cajas municipales y empresas financieras.</w:t>
      </w:r>
    </w:p>
    <w:p w14:paraId="16330DC3" w14:textId="77777777" w:rsidR="00E27E19" w:rsidRPr="00E27E19" w:rsidRDefault="00E27E19">
      <w:pPr>
        <w:pStyle w:val="Prrafodelista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Productos y servicios financieros básicos.</w:t>
      </w:r>
    </w:p>
    <w:p w14:paraId="3FA3BCEB" w14:textId="77777777" w:rsidR="00E27E19" w:rsidRPr="00E27E19" w:rsidRDefault="00E27E19">
      <w:pPr>
        <w:pStyle w:val="Prrafodelista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Seguridad financiera y prevención de fraudes.</w:t>
      </w:r>
    </w:p>
    <w:p w14:paraId="07935D5D" w14:textId="77777777" w:rsidR="00E27E19" w:rsidRPr="00E27E19" w:rsidRDefault="00E27E19">
      <w:pPr>
        <w:pStyle w:val="Prrafodelista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Decisiones informadas sobre el ahorro.</w:t>
      </w:r>
    </w:p>
    <w:p w14:paraId="3B717208" w14:textId="77777777" w:rsidR="00E27E19" w:rsidRPr="00E27E19" w:rsidRDefault="00E27E19" w:rsidP="00E27E19">
      <w:pPr>
        <w:pStyle w:val="Prrafodelista"/>
        <w:ind w:left="567" w:hanging="567"/>
        <w:rPr>
          <w:rFonts w:ascii="Arial" w:hAnsi="Arial" w:cs="Arial"/>
          <w:b/>
          <w:bCs/>
          <w:sz w:val="18"/>
          <w:szCs w:val="18"/>
        </w:rPr>
      </w:pPr>
      <w:r w:rsidRPr="00E27E19">
        <w:rPr>
          <w:rFonts w:ascii="Arial" w:hAnsi="Arial" w:cs="Arial"/>
          <w:b/>
          <w:bCs/>
          <w:sz w:val="18"/>
          <w:szCs w:val="18"/>
        </w:rPr>
        <w:t>IX. SECUENCIA DIDÁCTICA</w:t>
      </w:r>
    </w:p>
    <w:p w14:paraId="0A306E0F" w14:textId="77777777" w:rsidR="00E27E19" w:rsidRPr="00E27E19" w:rsidRDefault="00E27E19" w:rsidP="00E27E19">
      <w:pPr>
        <w:pStyle w:val="Prrafodelista"/>
        <w:ind w:left="1134" w:hanging="850"/>
        <w:rPr>
          <w:rFonts w:ascii="Arial" w:hAnsi="Arial" w:cs="Arial"/>
          <w:b/>
          <w:bCs/>
          <w:sz w:val="18"/>
          <w:szCs w:val="18"/>
        </w:rPr>
      </w:pPr>
      <w:r w:rsidRPr="00E27E19">
        <w:rPr>
          <w:rFonts w:ascii="Arial" w:hAnsi="Arial" w:cs="Arial"/>
          <w:b/>
          <w:bCs/>
          <w:sz w:val="18"/>
          <w:szCs w:val="18"/>
        </w:rPr>
        <w:t>A. INICIO — 15 minutos</w:t>
      </w:r>
    </w:p>
    <w:p w14:paraId="7EFADE0F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1. Motivación (5 minutos)</w:t>
      </w:r>
    </w:p>
    <w:p w14:paraId="7925D085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El docente presenta la siguiente situación:</w:t>
      </w:r>
    </w:p>
    <w:p w14:paraId="3ABD6DE3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Diego, de 15 años, ha ahorrado S/ 250 durante varios meses para comprar una computadora que le permita estudiar y desarrollar proyectos escolares. Un conocido le recomienda entregar su dinero a una empresa que promete duplicarlo en pocas semanas. Otra persona le aconseja guardarlo en una entidad financiera. Diego no sabe qué decisión tomar.</w:t>
      </w:r>
    </w:p>
    <w:p w14:paraId="102D62C7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Preguntas para dialogar:</w:t>
      </w:r>
    </w:p>
    <w:p w14:paraId="38332072" w14:textId="77777777" w:rsidR="00E27E19" w:rsidRPr="00E27E19" w:rsidRDefault="00E27E19">
      <w:pPr>
        <w:pStyle w:val="Prrafodelista"/>
        <w:numPr>
          <w:ilvl w:val="0"/>
          <w:numId w:val="5"/>
        </w:numPr>
        <w:tabs>
          <w:tab w:val="clear" w:pos="720"/>
          <w:tab w:val="num" w:pos="1287"/>
        </w:tabs>
        <w:ind w:left="128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¿Qué harías si estuvieras en el lugar de Diego?</w:t>
      </w:r>
    </w:p>
    <w:p w14:paraId="1C707914" w14:textId="77777777" w:rsidR="00E27E19" w:rsidRPr="00E27E19" w:rsidRDefault="00E27E19">
      <w:pPr>
        <w:pStyle w:val="Prrafodelista"/>
        <w:numPr>
          <w:ilvl w:val="0"/>
          <w:numId w:val="5"/>
        </w:numPr>
        <w:tabs>
          <w:tab w:val="clear" w:pos="720"/>
          <w:tab w:val="num" w:pos="1287"/>
        </w:tabs>
        <w:ind w:left="128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¿Es confiable una empresa solo porque promete ganancias elevadas?</w:t>
      </w:r>
    </w:p>
    <w:p w14:paraId="21E1A891" w14:textId="77777777" w:rsidR="00E27E19" w:rsidRPr="00E27E19" w:rsidRDefault="00E27E19">
      <w:pPr>
        <w:pStyle w:val="Prrafodelista"/>
        <w:numPr>
          <w:ilvl w:val="0"/>
          <w:numId w:val="5"/>
        </w:numPr>
        <w:tabs>
          <w:tab w:val="clear" w:pos="720"/>
          <w:tab w:val="num" w:pos="1287"/>
        </w:tabs>
        <w:ind w:left="128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¿Qué información necesitarías antes de entregar tu dinero?</w:t>
      </w:r>
    </w:p>
    <w:p w14:paraId="690C9445" w14:textId="77777777" w:rsidR="00E27E19" w:rsidRPr="00E27E19" w:rsidRDefault="00E27E19">
      <w:pPr>
        <w:pStyle w:val="Prrafodelista"/>
        <w:numPr>
          <w:ilvl w:val="0"/>
          <w:numId w:val="5"/>
        </w:numPr>
        <w:tabs>
          <w:tab w:val="clear" w:pos="720"/>
          <w:tab w:val="num" w:pos="1287"/>
        </w:tabs>
        <w:ind w:left="128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¿Qué instituciones ayudan a supervisar o mantener la estabilidad del sistema financiero peruano?</w:t>
      </w:r>
    </w:p>
    <w:p w14:paraId="22A113DA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2. Recuperación de saberes previos (5 minutos)</w:t>
      </w:r>
    </w:p>
    <w:p w14:paraId="1883648B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Los estudiantes responden oralmente:</w:t>
      </w:r>
    </w:p>
    <w:p w14:paraId="03B4F3E1" w14:textId="77777777" w:rsidR="00E27E19" w:rsidRPr="00E27E19" w:rsidRDefault="00E27E19">
      <w:pPr>
        <w:pStyle w:val="Prrafodelista"/>
        <w:numPr>
          <w:ilvl w:val="0"/>
          <w:numId w:val="6"/>
        </w:numPr>
        <w:tabs>
          <w:tab w:val="clear" w:pos="720"/>
          <w:tab w:val="num" w:pos="1287"/>
        </w:tabs>
        <w:ind w:left="128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¿Qué bancos, cajas municipales o financieras conocen?</w:t>
      </w:r>
    </w:p>
    <w:p w14:paraId="4FFCA7E0" w14:textId="77777777" w:rsidR="00E27E19" w:rsidRPr="00E27E19" w:rsidRDefault="00E27E19">
      <w:pPr>
        <w:pStyle w:val="Prrafodelista"/>
        <w:numPr>
          <w:ilvl w:val="0"/>
          <w:numId w:val="6"/>
        </w:numPr>
        <w:tabs>
          <w:tab w:val="clear" w:pos="720"/>
          <w:tab w:val="num" w:pos="1287"/>
        </w:tabs>
        <w:ind w:left="128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¿Para qué sirve una cuenta de ahorro?</w:t>
      </w:r>
    </w:p>
    <w:p w14:paraId="2AC10B80" w14:textId="77777777" w:rsidR="00E27E19" w:rsidRPr="00E27E19" w:rsidRDefault="00E27E19">
      <w:pPr>
        <w:pStyle w:val="Prrafodelista"/>
        <w:numPr>
          <w:ilvl w:val="0"/>
          <w:numId w:val="6"/>
        </w:numPr>
        <w:tabs>
          <w:tab w:val="clear" w:pos="720"/>
          <w:tab w:val="num" w:pos="1287"/>
        </w:tabs>
        <w:ind w:left="128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lastRenderedPageBreak/>
        <w:t>¿Qué diferencia existe entre ahorrar en casa y utilizar una entidad financiera?</w:t>
      </w:r>
    </w:p>
    <w:p w14:paraId="4AE30025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El docente registra las respuestas en la pizarra, sin descalificar las ideas iniciales.</w:t>
      </w:r>
    </w:p>
    <w:p w14:paraId="018972B2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3. Conflicto cognitivo y propósito (5 minutos)</w:t>
      </w:r>
    </w:p>
    <w:p w14:paraId="1101D5AF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Se plantea la pregunta retadora:</w:t>
      </w:r>
    </w:p>
    <w:p w14:paraId="0E6F44D7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¿Cómo podemos reconocer una entidad financiera confiable y elegir servicios que nos ayuden a proteger nuestros ahorros?</w:t>
      </w:r>
    </w:p>
    <w:p w14:paraId="5DB095CD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El docente comunica el propósito, la evidencia y el criterio de evaluación. Explica que no basta con conocer el nombre de una institución: es necesario comprender qué hace, qué servicio ofrece y qué información se debe verificar antes de tomar una decisión.</w:t>
      </w:r>
    </w:p>
    <w:p w14:paraId="5A6FC9AD" w14:textId="77777777" w:rsidR="00E27E19" w:rsidRPr="00E27E19" w:rsidRDefault="00E27E19" w:rsidP="00E27E19">
      <w:pPr>
        <w:pStyle w:val="Prrafodelista"/>
        <w:ind w:left="1134" w:hanging="850"/>
        <w:rPr>
          <w:rFonts w:ascii="Arial" w:hAnsi="Arial" w:cs="Arial"/>
          <w:b/>
          <w:bCs/>
          <w:sz w:val="18"/>
          <w:szCs w:val="18"/>
        </w:rPr>
      </w:pPr>
      <w:r w:rsidRPr="00E27E19">
        <w:rPr>
          <w:rFonts w:ascii="Arial" w:hAnsi="Arial" w:cs="Arial"/>
          <w:b/>
          <w:bCs/>
          <w:sz w:val="18"/>
          <w:szCs w:val="18"/>
        </w:rPr>
        <w:t>B. DESARROLLO — 60 minutos</w:t>
      </w:r>
    </w:p>
    <w:p w14:paraId="0D98DF19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Actividad 1. Comprendemos el sistema financiero peruano (12 minutos)</w:t>
      </w:r>
    </w:p>
    <w:p w14:paraId="3CB36F1D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El docente explica, con ejemplos sencillos, que el sistema financiero reúne instituciones, mercados y servicios que facilitan el ahorro, los pagos y el acceso al crédito.</w:t>
      </w:r>
    </w:p>
    <w:tbl>
      <w:tblPr>
        <w:tblW w:w="9921" w:type="dxa"/>
        <w:tblCellSpacing w:w="15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4"/>
        <w:gridCol w:w="4379"/>
        <w:gridCol w:w="3128"/>
      </w:tblGrid>
      <w:tr w:rsidR="00E27E19" w:rsidRPr="00E27E19" w14:paraId="0A7B77DD" w14:textId="77777777" w:rsidTr="00E27E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BA8BBE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7E19">
              <w:rPr>
                <w:rFonts w:ascii="Arial" w:hAnsi="Arial" w:cs="Arial"/>
                <w:b/>
                <w:bCs/>
                <w:sz w:val="18"/>
                <w:szCs w:val="18"/>
              </w:rPr>
              <w:t>Institución</w:t>
            </w:r>
          </w:p>
        </w:tc>
        <w:tc>
          <w:tcPr>
            <w:tcW w:w="0" w:type="auto"/>
            <w:vAlign w:val="center"/>
            <w:hideMark/>
          </w:tcPr>
          <w:p w14:paraId="718FDA8D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7E19">
              <w:rPr>
                <w:rFonts w:ascii="Arial" w:hAnsi="Arial" w:cs="Arial"/>
                <w:b/>
                <w:bCs/>
                <w:sz w:val="18"/>
                <w:szCs w:val="18"/>
              </w:rPr>
              <w:t>Función principal</w:t>
            </w:r>
          </w:p>
        </w:tc>
        <w:tc>
          <w:tcPr>
            <w:tcW w:w="0" w:type="auto"/>
            <w:vAlign w:val="center"/>
            <w:hideMark/>
          </w:tcPr>
          <w:p w14:paraId="36C04DF5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7E19">
              <w:rPr>
                <w:rFonts w:ascii="Arial" w:hAnsi="Arial" w:cs="Arial"/>
                <w:b/>
                <w:bCs/>
                <w:sz w:val="18"/>
                <w:szCs w:val="18"/>
              </w:rPr>
              <w:t>Ejemplo para los estudiantes</w:t>
            </w:r>
          </w:p>
        </w:tc>
      </w:tr>
      <w:tr w:rsidR="00E27E19" w:rsidRPr="00E27E19" w14:paraId="13DBD77C" w14:textId="77777777" w:rsidTr="00E27E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B2142E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Superintendencia de Banca, Seguros y AFP (SBS)</w:t>
            </w:r>
          </w:p>
        </w:tc>
        <w:tc>
          <w:tcPr>
            <w:tcW w:w="0" w:type="auto"/>
            <w:vAlign w:val="center"/>
            <w:hideMark/>
          </w:tcPr>
          <w:p w14:paraId="73BCF9B5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Supervisa las entidades comprendidas en su ámbito de competencia y promueve la protección del usuario financiero.</w:t>
            </w:r>
          </w:p>
        </w:tc>
        <w:tc>
          <w:tcPr>
            <w:tcW w:w="0" w:type="auto"/>
            <w:vAlign w:val="center"/>
            <w:hideMark/>
          </w:tcPr>
          <w:p w14:paraId="33C47C28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Verificar si una entidad está autorizada y consultar información para usuarios.</w:t>
            </w:r>
          </w:p>
        </w:tc>
      </w:tr>
      <w:tr w:rsidR="00E27E19" w:rsidRPr="00E27E19" w14:paraId="7F0E25BB" w14:textId="77777777" w:rsidTr="00E27E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E6786D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Banco Central de Reserva del Perú (BCRP)</w:t>
            </w:r>
          </w:p>
        </w:tc>
        <w:tc>
          <w:tcPr>
            <w:tcW w:w="0" w:type="auto"/>
            <w:vAlign w:val="center"/>
            <w:hideMark/>
          </w:tcPr>
          <w:p w14:paraId="6BA6D944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Preserva la estabilidad monetaria y regula la moneda y el crédito del sistema financiero dentro de sus competencias.</w:t>
            </w:r>
          </w:p>
        </w:tc>
        <w:tc>
          <w:tcPr>
            <w:tcW w:w="0" w:type="auto"/>
            <w:vAlign w:val="center"/>
            <w:hideMark/>
          </w:tcPr>
          <w:p w14:paraId="7AEA06A7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Comprender por qué es importante mantener la estabilidad de los precios.</w:t>
            </w:r>
          </w:p>
        </w:tc>
      </w:tr>
      <w:tr w:rsidR="00E27E19" w:rsidRPr="00E27E19" w14:paraId="3C3BFB50" w14:textId="77777777" w:rsidTr="00E27E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CA7AE2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Bancos</w:t>
            </w:r>
          </w:p>
        </w:tc>
        <w:tc>
          <w:tcPr>
            <w:tcW w:w="0" w:type="auto"/>
            <w:vAlign w:val="center"/>
            <w:hideMark/>
          </w:tcPr>
          <w:p w14:paraId="5ED904FE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Ofrecen diversos servicios, como cuentas, pagos y créditos, según sus productos y condiciones.</w:t>
            </w:r>
          </w:p>
        </w:tc>
        <w:tc>
          <w:tcPr>
            <w:tcW w:w="0" w:type="auto"/>
            <w:vAlign w:val="center"/>
            <w:hideMark/>
          </w:tcPr>
          <w:p w14:paraId="46A17CC2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Una familia utiliza una cuenta para recibir ingresos y realizar pagos.</w:t>
            </w:r>
          </w:p>
        </w:tc>
      </w:tr>
      <w:tr w:rsidR="00E27E19" w:rsidRPr="00E27E19" w14:paraId="41F44696" w14:textId="77777777" w:rsidTr="00E27E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2507EC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Cajas municipales</w:t>
            </w:r>
          </w:p>
        </w:tc>
        <w:tc>
          <w:tcPr>
            <w:tcW w:w="0" w:type="auto"/>
            <w:vAlign w:val="center"/>
            <w:hideMark/>
          </w:tcPr>
          <w:p w14:paraId="7BADDD18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Ofrecen servicios financieros, incluidos ahorro y crédito, según sus condiciones y autorizaciones.</w:t>
            </w:r>
          </w:p>
        </w:tc>
        <w:tc>
          <w:tcPr>
            <w:tcW w:w="0" w:type="auto"/>
            <w:vAlign w:val="center"/>
            <w:hideMark/>
          </w:tcPr>
          <w:p w14:paraId="5807E54B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Un pequeño negocio consulta opciones para guardar sus ingresos.</w:t>
            </w:r>
          </w:p>
        </w:tc>
      </w:tr>
      <w:tr w:rsidR="00E27E19" w:rsidRPr="00E27E19" w14:paraId="5AF32F47" w14:textId="77777777" w:rsidTr="00E27E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44C840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Empresas financieras</w:t>
            </w:r>
          </w:p>
        </w:tc>
        <w:tc>
          <w:tcPr>
            <w:tcW w:w="0" w:type="auto"/>
            <w:vAlign w:val="center"/>
            <w:hideMark/>
          </w:tcPr>
          <w:p w14:paraId="10C31E56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Ofrecen determinados productos financieros, especialmente vinculados al financiamiento, de acuerdo con su autorización.</w:t>
            </w:r>
          </w:p>
        </w:tc>
        <w:tc>
          <w:tcPr>
            <w:tcW w:w="0" w:type="auto"/>
            <w:vAlign w:val="center"/>
            <w:hideMark/>
          </w:tcPr>
          <w:p w14:paraId="286F8FFA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Una persona compara el costo de un préstamo antes de aceptarlo.</w:t>
            </w:r>
          </w:p>
        </w:tc>
      </w:tr>
    </w:tbl>
    <w:p w14:paraId="3E699F3E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El docente aclara que no todas las instituciones cumplen la misma función: la SBS supervisa dentro de su ámbito, el BCRP tiene funciones de política monetaria y las entidades financieras ofrecen servicios a sus clientes.</w:t>
      </w:r>
    </w:p>
    <w:p w14:paraId="750EEF4D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Actividad 2. Comparamos las opciones financieras (10 minutos)</w:t>
      </w:r>
    </w:p>
    <w:p w14:paraId="58FF5EBF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En parejas, los estudiantes completan la siguiente tabla:</w:t>
      </w:r>
    </w:p>
    <w:tbl>
      <w:tblPr>
        <w:tblW w:w="9921" w:type="dxa"/>
        <w:tblCellSpacing w:w="15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6"/>
        <w:gridCol w:w="2480"/>
        <w:gridCol w:w="2480"/>
        <w:gridCol w:w="2495"/>
      </w:tblGrid>
      <w:tr w:rsidR="00E27E19" w:rsidRPr="00E27E19" w14:paraId="7C2BC0B2" w14:textId="77777777" w:rsidTr="00E27E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E2B64D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7E19">
              <w:rPr>
                <w:rFonts w:ascii="Arial" w:hAnsi="Arial" w:cs="Arial"/>
                <w:b/>
                <w:bCs/>
                <w:sz w:val="18"/>
                <w:szCs w:val="18"/>
              </w:rPr>
              <w:t>Aspecto</w:t>
            </w:r>
          </w:p>
        </w:tc>
        <w:tc>
          <w:tcPr>
            <w:tcW w:w="0" w:type="auto"/>
            <w:vAlign w:val="center"/>
            <w:hideMark/>
          </w:tcPr>
          <w:p w14:paraId="2F789DE9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7E19">
              <w:rPr>
                <w:rFonts w:ascii="Arial" w:hAnsi="Arial" w:cs="Arial"/>
                <w:b/>
                <w:bCs/>
                <w:sz w:val="18"/>
                <w:szCs w:val="18"/>
              </w:rPr>
              <w:t>Banco</w:t>
            </w:r>
          </w:p>
        </w:tc>
        <w:tc>
          <w:tcPr>
            <w:tcW w:w="0" w:type="auto"/>
            <w:vAlign w:val="center"/>
            <w:hideMark/>
          </w:tcPr>
          <w:p w14:paraId="414EC9BD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7E19">
              <w:rPr>
                <w:rFonts w:ascii="Arial" w:hAnsi="Arial" w:cs="Arial"/>
                <w:b/>
                <w:bCs/>
                <w:sz w:val="18"/>
                <w:szCs w:val="18"/>
              </w:rPr>
              <w:t>Caja municipal</w:t>
            </w:r>
          </w:p>
        </w:tc>
        <w:tc>
          <w:tcPr>
            <w:tcW w:w="0" w:type="auto"/>
            <w:vAlign w:val="center"/>
            <w:hideMark/>
          </w:tcPr>
          <w:p w14:paraId="069E2630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7E19">
              <w:rPr>
                <w:rFonts w:ascii="Arial" w:hAnsi="Arial" w:cs="Arial"/>
                <w:b/>
                <w:bCs/>
                <w:sz w:val="18"/>
                <w:szCs w:val="18"/>
              </w:rPr>
              <w:t>Empresa financiera</w:t>
            </w:r>
          </w:p>
        </w:tc>
      </w:tr>
      <w:tr w:rsidR="00E27E19" w:rsidRPr="00E27E19" w14:paraId="7E5926D3" w14:textId="77777777" w:rsidTr="00E27E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8C74E2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¿Qué servicios puede ofrecer?</w:t>
            </w:r>
          </w:p>
        </w:tc>
        <w:tc>
          <w:tcPr>
            <w:tcW w:w="0" w:type="auto"/>
            <w:vAlign w:val="center"/>
            <w:hideMark/>
          </w:tcPr>
          <w:p w14:paraId="686CE4A1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Ahorro, pagos, créditos y otros</w:t>
            </w:r>
          </w:p>
        </w:tc>
        <w:tc>
          <w:tcPr>
            <w:tcW w:w="0" w:type="auto"/>
            <w:vAlign w:val="center"/>
            <w:hideMark/>
          </w:tcPr>
          <w:p w14:paraId="348BEF39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Ahorro, créditos y otros</w:t>
            </w:r>
          </w:p>
        </w:tc>
        <w:tc>
          <w:tcPr>
            <w:tcW w:w="0" w:type="auto"/>
            <w:vAlign w:val="center"/>
            <w:hideMark/>
          </w:tcPr>
          <w:p w14:paraId="77652569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Productos financieros según autorización</w:t>
            </w:r>
          </w:p>
        </w:tc>
      </w:tr>
      <w:tr w:rsidR="00E27E19" w:rsidRPr="00E27E19" w14:paraId="27479F7C" w14:textId="77777777" w:rsidTr="00E27E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336C41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¿Todos ofrecen exactamente lo mismo?</w:t>
            </w:r>
          </w:p>
        </w:tc>
        <w:tc>
          <w:tcPr>
            <w:tcW w:w="0" w:type="auto"/>
            <w:vAlign w:val="center"/>
            <w:hideMark/>
          </w:tcPr>
          <w:p w14:paraId="78CCE056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66C74491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059E5C4D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E27E19" w:rsidRPr="00E27E19" w14:paraId="209FFE49" w14:textId="77777777" w:rsidTr="00E27E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BE23A7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¿Qué debemos comparar?</w:t>
            </w:r>
          </w:p>
        </w:tc>
        <w:tc>
          <w:tcPr>
            <w:tcW w:w="0" w:type="auto"/>
            <w:vAlign w:val="center"/>
            <w:hideMark/>
          </w:tcPr>
          <w:p w14:paraId="766A7BB5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Costos, condiciones, seguridad y servicio</w:t>
            </w:r>
          </w:p>
        </w:tc>
        <w:tc>
          <w:tcPr>
            <w:tcW w:w="0" w:type="auto"/>
            <w:vAlign w:val="center"/>
            <w:hideMark/>
          </w:tcPr>
          <w:p w14:paraId="6E18B7E1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Costos, condiciones, seguridad y servicio</w:t>
            </w:r>
          </w:p>
        </w:tc>
        <w:tc>
          <w:tcPr>
            <w:tcW w:w="0" w:type="auto"/>
            <w:vAlign w:val="center"/>
            <w:hideMark/>
          </w:tcPr>
          <w:p w14:paraId="45531D83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Costos, condiciones, seguridad y servicio</w:t>
            </w:r>
          </w:p>
        </w:tc>
      </w:tr>
    </w:tbl>
    <w:p w14:paraId="34EB0C3D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Preguntas orientadoras:</w:t>
      </w:r>
    </w:p>
    <w:p w14:paraId="38415235" w14:textId="77777777" w:rsidR="00E27E19" w:rsidRPr="00E27E19" w:rsidRDefault="00E27E19">
      <w:pPr>
        <w:pStyle w:val="Prrafodelista"/>
        <w:numPr>
          <w:ilvl w:val="0"/>
          <w:numId w:val="7"/>
        </w:numPr>
        <w:tabs>
          <w:tab w:val="clear" w:pos="720"/>
          <w:tab w:val="num" w:pos="1287"/>
        </w:tabs>
        <w:ind w:left="128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¿Por qué no debemos elegir una entidad solamente por publicidad?</w:t>
      </w:r>
    </w:p>
    <w:p w14:paraId="3CFB911F" w14:textId="77777777" w:rsidR="00E27E19" w:rsidRPr="00E27E19" w:rsidRDefault="00E27E19">
      <w:pPr>
        <w:pStyle w:val="Prrafodelista"/>
        <w:numPr>
          <w:ilvl w:val="0"/>
          <w:numId w:val="7"/>
        </w:numPr>
        <w:tabs>
          <w:tab w:val="clear" w:pos="720"/>
          <w:tab w:val="num" w:pos="1287"/>
        </w:tabs>
        <w:ind w:left="128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¿Qué diferencia existe entre ahorrar y solicitar un préstamo?</w:t>
      </w:r>
    </w:p>
    <w:p w14:paraId="19FB323F" w14:textId="77777777" w:rsidR="00E27E19" w:rsidRPr="00E27E19" w:rsidRDefault="00E27E19">
      <w:pPr>
        <w:pStyle w:val="Prrafodelista"/>
        <w:numPr>
          <w:ilvl w:val="0"/>
          <w:numId w:val="7"/>
        </w:numPr>
        <w:tabs>
          <w:tab w:val="clear" w:pos="720"/>
          <w:tab w:val="num" w:pos="1287"/>
        </w:tabs>
        <w:ind w:left="128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¿Por qué debemos leer las condiciones y preguntar por las comisiones?</w:t>
      </w:r>
    </w:p>
    <w:p w14:paraId="54C36883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Actividad 3. Analizamos situaciones financieras (13 minutos)</w:t>
      </w:r>
    </w:p>
    <w:p w14:paraId="678D4A52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Los estudiantes se organizan en equipos de cuatro integrantes. Cada equipo analiza un caso y plantea una decisión fundamentada.</w:t>
      </w:r>
    </w:p>
    <w:p w14:paraId="326918BC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b/>
          <w:bCs/>
          <w:sz w:val="18"/>
          <w:szCs w:val="18"/>
        </w:rPr>
      </w:pPr>
      <w:r w:rsidRPr="00E27E19">
        <w:rPr>
          <w:rFonts w:ascii="Arial" w:hAnsi="Arial" w:cs="Arial"/>
          <w:b/>
          <w:bCs/>
          <w:sz w:val="18"/>
          <w:szCs w:val="18"/>
        </w:rPr>
        <w:t>Caso A. Una promesa extraordinaria</w:t>
      </w:r>
    </w:p>
    <w:p w14:paraId="04E6C230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Una persona ofrece duplicar los ahorros de un estudiante en dos semanas, pero no explica cómo genera las ganancias y solicita que transfiera el dinero de inmediato.</w:t>
      </w:r>
    </w:p>
    <w:p w14:paraId="23B44F68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Preguntas: ¿Qué señales de alerta observas? ¿Qué información debes verificar? ¿Qué decisión responsable recomendarías?</w:t>
      </w:r>
    </w:p>
    <w:p w14:paraId="57570373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b/>
          <w:bCs/>
          <w:sz w:val="18"/>
          <w:szCs w:val="18"/>
        </w:rPr>
      </w:pPr>
      <w:r w:rsidRPr="00E27E19">
        <w:rPr>
          <w:rFonts w:ascii="Arial" w:hAnsi="Arial" w:cs="Arial"/>
          <w:b/>
          <w:bCs/>
          <w:sz w:val="18"/>
          <w:szCs w:val="18"/>
        </w:rPr>
        <w:lastRenderedPageBreak/>
        <w:t>Caso B. El ahorro de una familia</w:t>
      </w:r>
    </w:p>
    <w:p w14:paraId="402C353C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Una familia quiere guardar dinero para emergencias y compara dos entidades que ofrecen cuentas de ahorro con distintas condiciones.</w:t>
      </w:r>
    </w:p>
    <w:p w14:paraId="7B030C32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Preguntas: ¿Qué aspectos debería comparar? ¿Qué significa verificar que la entidad esté autorizada? ¿Por qué es importante revisar las condiciones de la cuenta?</w:t>
      </w:r>
    </w:p>
    <w:p w14:paraId="3EF7CC5B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b/>
          <w:bCs/>
          <w:sz w:val="18"/>
          <w:szCs w:val="18"/>
        </w:rPr>
      </w:pPr>
      <w:r w:rsidRPr="00E27E19">
        <w:rPr>
          <w:rFonts w:ascii="Arial" w:hAnsi="Arial" w:cs="Arial"/>
          <w:b/>
          <w:bCs/>
          <w:sz w:val="18"/>
          <w:szCs w:val="18"/>
        </w:rPr>
        <w:t>Caso C. Un crédito para emprender</w:t>
      </w:r>
    </w:p>
    <w:p w14:paraId="43679201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Una emprendedora desea pedir un préstamo para comprar materiales para su negocio. Recibe dos propuestas con cuotas y costos diferentes.</w:t>
      </w:r>
    </w:p>
    <w:p w14:paraId="77590D1F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Preguntas: ¿Qué información debe comparar? ¿Por qué no debe fijarse únicamente en el monto de la cuota? ¿Qué riesgo asumiría si no puede pagar?</w:t>
      </w:r>
    </w:p>
    <w:p w14:paraId="2E595985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Cada equipo comparte su conclusión. El docente refuerza que se debe verificar la autorización de la entidad ante la SBS cuando corresponda, desconfiar de las ganancias garantizadas y evitar entregar contraseñas, claves o códigos de seguridad.</w:t>
      </w:r>
    </w:p>
    <w:p w14:paraId="34CC1584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Actividad 4. Elaboramos el organizador visual (20 minutos)</w:t>
      </w:r>
    </w:p>
    <w:p w14:paraId="14622666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Cada equipo elabora un mapa conceptual, esquema o infografía titulada “Conozco el sistema financiero y protejo mi dinero”.</w:t>
      </w:r>
    </w:p>
    <w:p w14:paraId="1467C86F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Debe incluir:</w:t>
      </w:r>
    </w:p>
    <w:p w14:paraId="6C8118B2" w14:textId="77777777" w:rsidR="00E27E19" w:rsidRPr="00E27E19" w:rsidRDefault="00E27E19">
      <w:pPr>
        <w:pStyle w:val="Prrafodelista"/>
        <w:numPr>
          <w:ilvl w:val="0"/>
          <w:numId w:val="8"/>
        </w:numPr>
        <w:tabs>
          <w:tab w:val="clear" w:pos="720"/>
          <w:tab w:val="num" w:pos="1287"/>
        </w:tabs>
        <w:ind w:left="128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¿Qué es el sistema financiero?</w:t>
      </w:r>
    </w:p>
    <w:p w14:paraId="2F9D64B8" w14:textId="77777777" w:rsidR="00E27E19" w:rsidRPr="00E27E19" w:rsidRDefault="00E27E19">
      <w:pPr>
        <w:pStyle w:val="Prrafodelista"/>
        <w:numPr>
          <w:ilvl w:val="0"/>
          <w:numId w:val="8"/>
        </w:numPr>
        <w:tabs>
          <w:tab w:val="clear" w:pos="720"/>
          <w:tab w:val="num" w:pos="1287"/>
        </w:tabs>
        <w:ind w:left="128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Funciones de la SBS y del BCRP.</w:t>
      </w:r>
    </w:p>
    <w:p w14:paraId="442DAAA7" w14:textId="77777777" w:rsidR="00E27E19" w:rsidRPr="00E27E19" w:rsidRDefault="00E27E19">
      <w:pPr>
        <w:pStyle w:val="Prrafodelista"/>
        <w:numPr>
          <w:ilvl w:val="0"/>
          <w:numId w:val="8"/>
        </w:numPr>
        <w:tabs>
          <w:tab w:val="clear" w:pos="720"/>
          <w:tab w:val="num" w:pos="1287"/>
        </w:tabs>
        <w:ind w:left="128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Diferencias básicas entre bancos, cajas municipales y empresas financieras.</w:t>
      </w:r>
    </w:p>
    <w:p w14:paraId="26F8B145" w14:textId="77777777" w:rsidR="00E27E19" w:rsidRPr="00E27E19" w:rsidRDefault="00E27E19">
      <w:pPr>
        <w:pStyle w:val="Prrafodelista"/>
        <w:numPr>
          <w:ilvl w:val="0"/>
          <w:numId w:val="8"/>
        </w:numPr>
        <w:tabs>
          <w:tab w:val="clear" w:pos="720"/>
          <w:tab w:val="num" w:pos="1287"/>
        </w:tabs>
        <w:ind w:left="128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Ejemplos de servicios financieros.</w:t>
      </w:r>
    </w:p>
    <w:p w14:paraId="2DB56D6C" w14:textId="77777777" w:rsidR="00E27E19" w:rsidRPr="00E27E19" w:rsidRDefault="00E27E19">
      <w:pPr>
        <w:pStyle w:val="Prrafodelista"/>
        <w:numPr>
          <w:ilvl w:val="0"/>
          <w:numId w:val="8"/>
        </w:numPr>
        <w:tabs>
          <w:tab w:val="clear" w:pos="720"/>
          <w:tab w:val="num" w:pos="1287"/>
        </w:tabs>
        <w:ind w:left="128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Tres recomendaciones de seguridad financiera.</w:t>
      </w:r>
    </w:p>
    <w:p w14:paraId="24339B68" w14:textId="77777777" w:rsidR="00E27E19" w:rsidRPr="00E27E19" w:rsidRDefault="00E27E19">
      <w:pPr>
        <w:pStyle w:val="Prrafodelista"/>
        <w:numPr>
          <w:ilvl w:val="0"/>
          <w:numId w:val="8"/>
        </w:numPr>
        <w:tabs>
          <w:tab w:val="clear" w:pos="720"/>
          <w:tab w:val="num" w:pos="1287"/>
        </w:tabs>
        <w:ind w:left="128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Una conclusión sobre cómo elegir responsablemente una entidad.</w:t>
      </w:r>
    </w:p>
    <w:p w14:paraId="6ADDB015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El docente brinda acompañamiento con preguntas, ejemplos visuales y una plantilla si algún estudiante la necesita. Los equipos pueden presentar la información mediante dibujos, palabras clave, esquemas o herramientas digitales disponibles.</w:t>
      </w:r>
    </w:p>
    <w:p w14:paraId="55B90486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Actividad 5. Socializamos y mejoramos (5 minutos)</w:t>
      </w:r>
    </w:p>
    <w:p w14:paraId="35EF5BED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Dos o tres equipos presentan sus organizadores. Los demás identifican una idea clara y sugieren una mejora. El docente ofrece retroalimentación breve considerando la precisión de la información, las comparaciones y las recomendaciones de seguridad.</w:t>
      </w:r>
    </w:p>
    <w:p w14:paraId="3AA6655F" w14:textId="77777777" w:rsidR="00E27E19" w:rsidRPr="00E27E19" w:rsidRDefault="00E27E19" w:rsidP="00E27E19">
      <w:pPr>
        <w:pStyle w:val="Prrafodelista"/>
        <w:ind w:left="1134" w:hanging="850"/>
        <w:rPr>
          <w:rFonts w:ascii="Arial" w:hAnsi="Arial" w:cs="Arial"/>
          <w:b/>
          <w:bCs/>
          <w:sz w:val="18"/>
          <w:szCs w:val="18"/>
        </w:rPr>
      </w:pPr>
      <w:r w:rsidRPr="00E27E19">
        <w:rPr>
          <w:rFonts w:ascii="Arial" w:hAnsi="Arial" w:cs="Arial"/>
          <w:b/>
          <w:bCs/>
          <w:sz w:val="18"/>
          <w:szCs w:val="18"/>
        </w:rPr>
        <w:t>C. CIERRE — 15 minutos</w:t>
      </w:r>
    </w:p>
    <w:p w14:paraId="1C8BB1EC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1. Reflexión y metacognición (10 minutos)</w:t>
      </w:r>
    </w:p>
    <w:p w14:paraId="36357E5B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Los estudiantes responden individualmente:</w:t>
      </w:r>
    </w:p>
    <w:p w14:paraId="3D3D37CF" w14:textId="77777777" w:rsidR="00E27E19" w:rsidRPr="00E27E19" w:rsidRDefault="00E27E19">
      <w:pPr>
        <w:pStyle w:val="Prrafodelista"/>
        <w:numPr>
          <w:ilvl w:val="0"/>
          <w:numId w:val="9"/>
        </w:numPr>
        <w:tabs>
          <w:tab w:val="clear" w:pos="720"/>
          <w:tab w:val="num" w:pos="1287"/>
        </w:tabs>
        <w:ind w:left="128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¿Qué aprendí sobre el sistema financiero peruano?</w:t>
      </w:r>
    </w:p>
    <w:p w14:paraId="7092D65D" w14:textId="77777777" w:rsidR="00E27E19" w:rsidRPr="00E27E19" w:rsidRDefault="00E27E19">
      <w:pPr>
        <w:pStyle w:val="Prrafodelista"/>
        <w:numPr>
          <w:ilvl w:val="0"/>
          <w:numId w:val="9"/>
        </w:numPr>
        <w:tabs>
          <w:tab w:val="clear" w:pos="720"/>
          <w:tab w:val="num" w:pos="1287"/>
        </w:tabs>
        <w:ind w:left="128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¿En qué se diferencian la SBS y el BCRP?</w:t>
      </w:r>
    </w:p>
    <w:p w14:paraId="4C36A9A4" w14:textId="77777777" w:rsidR="00E27E19" w:rsidRPr="00E27E19" w:rsidRDefault="00E27E19">
      <w:pPr>
        <w:pStyle w:val="Prrafodelista"/>
        <w:numPr>
          <w:ilvl w:val="0"/>
          <w:numId w:val="9"/>
        </w:numPr>
        <w:tabs>
          <w:tab w:val="clear" w:pos="720"/>
          <w:tab w:val="num" w:pos="1287"/>
        </w:tabs>
        <w:ind w:left="128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¿Qué debo verificar antes de confiar mis ahorros a una entidad?</w:t>
      </w:r>
    </w:p>
    <w:p w14:paraId="6816DC28" w14:textId="77777777" w:rsidR="00E27E19" w:rsidRPr="00E27E19" w:rsidRDefault="00E27E19">
      <w:pPr>
        <w:pStyle w:val="Prrafodelista"/>
        <w:numPr>
          <w:ilvl w:val="0"/>
          <w:numId w:val="9"/>
        </w:numPr>
        <w:tabs>
          <w:tab w:val="clear" w:pos="720"/>
          <w:tab w:val="num" w:pos="1287"/>
        </w:tabs>
        <w:ind w:left="128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¿Qué recomendación daría a un adolescente que recibe una oferta de ganancias rápidas?</w:t>
      </w:r>
    </w:p>
    <w:p w14:paraId="5008D3BB" w14:textId="77777777" w:rsidR="00E27E19" w:rsidRPr="00E27E19" w:rsidRDefault="00E27E19">
      <w:pPr>
        <w:pStyle w:val="Prrafodelista"/>
        <w:numPr>
          <w:ilvl w:val="0"/>
          <w:numId w:val="9"/>
        </w:numPr>
        <w:tabs>
          <w:tab w:val="clear" w:pos="720"/>
          <w:tab w:val="num" w:pos="1287"/>
        </w:tabs>
        <w:ind w:left="128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¿Cómo puedo aplicar lo aprendido a una meta de ahorro personal?</w:t>
      </w:r>
    </w:p>
    <w:p w14:paraId="7DAF87AB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2. Conclusión del docente (5 minutos)</w:t>
      </w:r>
    </w:p>
    <w:p w14:paraId="51F4AA0D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El docente refuerza el siguiente mensaje:</w:t>
      </w:r>
    </w:p>
    <w:p w14:paraId="322C832C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“La educación financiera no consiste solamente en saber dónde guardar el dinero, sino en comprender las opciones disponibles, comparar sus condiciones y tomar decisiones informadas. Antes de entregar nuestros ahorros, debemos verificar la información, proteger nuestros datos personales y desconfiar de las promesas de ganancias fáciles”.</w:t>
      </w:r>
    </w:p>
    <w:p w14:paraId="70B10FA4" w14:textId="77777777" w:rsidR="00E27E19" w:rsidRPr="00E27E19" w:rsidRDefault="00E27E19" w:rsidP="00E27E19">
      <w:pPr>
        <w:pStyle w:val="Prrafodelista"/>
        <w:ind w:left="1134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Como conexión con la siguiente sesión, se pregunta: ¿qué diferencia existe entre ahorrar dinero y utilizarlo para invertir?</w:t>
      </w:r>
    </w:p>
    <w:p w14:paraId="53B1EC8E" w14:textId="77777777" w:rsidR="00E27E19" w:rsidRPr="00E27E19" w:rsidRDefault="00E27E19" w:rsidP="00E27E19">
      <w:pPr>
        <w:pStyle w:val="Prrafodelista"/>
        <w:ind w:left="567" w:hanging="567"/>
        <w:rPr>
          <w:rFonts w:ascii="Arial" w:hAnsi="Arial" w:cs="Arial"/>
          <w:b/>
          <w:bCs/>
          <w:sz w:val="18"/>
          <w:szCs w:val="18"/>
        </w:rPr>
      </w:pPr>
      <w:r w:rsidRPr="00E27E19">
        <w:rPr>
          <w:rFonts w:ascii="Arial" w:hAnsi="Arial" w:cs="Arial"/>
          <w:b/>
          <w:bCs/>
          <w:sz w:val="18"/>
          <w:szCs w:val="18"/>
        </w:rPr>
        <w:t>X. ENFOQUES TRANSVERSALES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6"/>
        <w:gridCol w:w="2012"/>
        <w:gridCol w:w="5953"/>
      </w:tblGrid>
      <w:tr w:rsidR="00E27E19" w:rsidRPr="00E27E19" w14:paraId="05CC2D0A" w14:textId="77777777" w:rsidTr="00E27E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CE5AA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7E19">
              <w:rPr>
                <w:rFonts w:ascii="Arial" w:hAnsi="Arial" w:cs="Arial"/>
                <w:b/>
                <w:bCs/>
                <w:sz w:val="18"/>
                <w:szCs w:val="18"/>
              </w:rPr>
              <w:t>Enfoque transversal</w:t>
            </w:r>
          </w:p>
        </w:tc>
        <w:tc>
          <w:tcPr>
            <w:tcW w:w="0" w:type="auto"/>
            <w:vAlign w:val="center"/>
            <w:hideMark/>
          </w:tcPr>
          <w:p w14:paraId="2E93A20C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7E19">
              <w:rPr>
                <w:rFonts w:ascii="Arial" w:hAnsi="Arial" w:cs="Arial"/>
                <w:b/>
                <w:bCs/>
                <w:sz w:val="18"/>
                <w:szCs w:val="18"/>
              </w:rPr>
              <w:t>Valor</w:t>
            </w:r>
          </w:p>
        </w:tc>
        <w:tc>
          <w:tcPr>
            <w:tcW w:w="0" w:type="auto"/>
            <w:vAlign w:val="center"/>
            <w:hideMark/>
          </w:tcPr>
          <w:p w14:paraId="70BC606D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7E19">
              <w:rPr>
                <w:rFonts w:ascii="Arial" w:hAnsi="Arial" w:cs="Arial"/>
                <w:b/>
                <w:bCs/>
                <w:sz w:val="18"/>
                <w:szCs w:val="18"/>
              </w:rPr>
              <w:t>Actitudes observables</w:t>
            </w:r>
          </w:p>
        </w:tc>
      </w:tr>
      <w:tr w:rsidR="00E27E19" w:rsidRPr="00E27E19" w14:paraId="5CE7E84B" w14:textId="77777777" w:rsidTr="00E27E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E87A6E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Enfoque de derechos</w:t>
            </w:r>
          </w:p>
        </w:tc>
        <w:tc>
          <w:tcPr>
            <w:tcW w:w="0" w:type="auto"/>
            <w:vAlign w:val="center"/>
            <w:hideMark/>
          </w:tcPr>
          <w:p w14:paraId="65AD7E5D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Responsabilidad</w:t>
            </w:r>
          </w:p>
        </w:tc>
        <w:tc>
          <w:tcPr>
            <w:tcW w:w="0" w:type="auto"/>
            <w:vAlign w:val="center"/>
            <w:hideMark/>
          </w:tcPr>
          <w:p w14:paraId="4BD59CA9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Reconocen que las personas tienen derecho a recibir información clara para tomar decisiones financieras.</w:t>
            </w:r>
          </w:p>
        </w:tc>
      </w:tr>
      <w:tr w:rsidR="00E27E19" w:rsidRPr="00E27E19" w14:paraId="5BCCE5D9" w14:textId="77777777" w:rsidTr="00E27E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C76A79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Orientación al bien común</w:t>
            </w:r>
          </w:p>
        </w:tc>
        <w:tc>
          <w:tcPr>
            <w:tcW w:w="0" w:type="auto"/>
            <w:vAlign w:val="center"/>
            <w:hideMark/>
          </w:tcPr>
          <w:p w14:paraId="484C8D02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Responsabilidad y solidaridad</w:t>
            </w:r>
          </w:p>
        </w:tc>
        <w:tc>
          <w:tcPr>
            <w:tcW w:w="0" w:type="auto"/>
            <w:vAlign w:val="center"/>
            <w:hideMark/>
          </w:tcPr>
          <w:p w14:paraId="3BCA5287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Proponen prácticas que favorecen el cuidado de los recursos personales y familiares, sin divulgar información privada.</w:t>
            </w:r>
          </w:p>
        </w:tc>
      </w:tr>
      <w:tr w:rsidR="00E27E19" w:rsidRPr="00E27E19" w14:paraId="65F17098" w14:textId="77777777" w:rsidTr="00E27E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9AA9BF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Búsqueda de la excelencia</w:t>
            </w:r>
          </w:p>
        </w:tc>
        <w:tc>
          <w:tcPr>
            <w:tcW w:w="0" w:type="auto"/>
            <w:vAlign w:val="center"/>
            <w:hideMark/>
          </w:tcPr>
          <w:p w14:paraId="6E6EDE26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Superación personal</w:t>
            </w:r>
          </w:p>
        </w:tc>
        <w:tc>
          <w:tcPr>
            <w:tcW w:w="0" w:type="auto"/>
            <w:vAlign w:val="center"/>
            <w:hideMark/>
          </w:tcPr>
          <w:p w14:paraId="2E4D48DF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Analizan información, comparan opciones y mejoran sus propuestas a partir de la retroalimentación.</w:t>
            </w:r>
          </w:p>
        </w:tc>
      </w:tr>
    </w:tbl>
    <w:p w14:paraId="22B844CE" w14:textId="77777777" w:rsidR="00E27E19" w:rsidRDefault="00E27E19" w:rsidP="00E27E19">
      <w:pPr>
        <w:pStyle w:val="Prrafodelista"/>
        <w:ind w:left="567" w:hanging="567"/>
        <w:rPr>
          <w:rFonts w:ascii="Arial" w:hAnsi="Arial" w:cs="Arial"/>
          <w:b/>
          <w:bCs/>
          <w:sz w:val="18"/>
          <w:szCs w:val="18"/>
        </w:rPr>
      </w:pPr>
    </w:p>
    <w:p w14:paraId="7C154A3D" w14:textId="77777777" w:rsidR="00E27E19" w:rsidRDefault="00E27E19" w:rsidP="00E27E19">
      <w:pPr>
        <w:pStyle w:val="Prrafodelista"/>
        <w:ind w:left="567" w:hanging="567"/>
        <w:rPr>
          <w:rFonts w:ascii="Arial" w:hAnsi="Arial" w:cs="Arial"/>
          <w:b/>
          <w:bCs/>
          <w:sz w:val="18"/>
          <w:szCs w:val="18"/>
        </w:rPr>
      </w:pPr>
    </w:p>
    <w:p w14:paraId="13B1E829" w14:textId="77777777" w:rsidR="00E27E19" w:rsidRDefault="00E27E19" w:rsidP="00E27E19">
      <w:pPr>
        <w:pStyle w:val="Prrafodelista"/>
        <w:ind w:left="567" w:hanging="567"/>
        <w:rPr>
          <w:rFonts w:ascii="Arial" w:hAnsi="Arial" w:cs="Arial"/>
          <w:b/>
          <w:bCs/>
          <w:sz w:val="18"/>
          <w:szCs w:val="18"/>
        </w:rPr>
      </w:pPr>
    </w:p>
    <w:p w14:paraId="26E32CB1" w14:textId="77777777" w:rsidR="00E27E19" w:rsidRDefault="00E27E19" w:rsidP="00E27E19">
      <w:pPr>
        <w:pStyle w:val="Prrafodelista"/>
        <w:ind w:left="567" w:hanging="567"/>
        <w:rPr>
          <w:rFonts w:ascii="Arial" w:hAnsi="Arial" w:cs="Arial"/>
          <w:b/>
          <w:bCs/>
          <w:sz w:val="18"/>
          <w:szCs w:val="18"/>
        </w:rPr>
      </w:pPr>
    </w:p>
    <w:p w14:paraId="7A797266" w14:textId="2B2433C7" w:rsidR="00E27E19" w:rsidRPr="00E27E19" w:rsidRDefault="00E27E19" w:rsidP="00E27E19">
      <w:pPr>
        <w:pStyle w:val="Prrafodelista"/>
        <w:ind w:left="567" w:hanging="567"/>
        <w:rPr>
          <w:rFonts w:ascii="Arial" w:hAnsi="Arial" w:cs="Arial"/>
          <w:b/>
          <w:bCs/>
          <w:sz w:val="18"/>
          <w:szCs w:val="18"/>
        </w:rPr>
      </w:pPr>
      <w:r w:rsidRPr="00E27E19">
        <w:rPr>
          <w:rFonts w:ascii="Arial" w:hAnsi="Arial" w:cs="Arial"/>
          <w:b/>
          <w:bCs/>
          <w:sz w:val="18"/>
          <w:szCs w:val="18"/>
        </w:rPr>
        <w:lastRenderedPageBreak/>
        <w:t>XI. INSTRUMENTO DE EVALUACIÓN: RÚBRICA ANALÍTICA</w:t>
      </w:r>
    </w:p>
    <w:p w14:paraId="2026A493" w14:textId="77777777" w:rsidR="00E27E19" w:rsidRPr="00E27E19" w:rsidRDefault="00E27E19" w:rsidP="00E27E19">
      <w:pPr>
        <w:pStyle w:val="Prrafodelista"/>
        <w:ind w:left="567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Evidencia evaluada: organizador visual del sistema financiero peruano.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3"/>
        <w:gridCol w:w="2114"/>
        <w:gridCol w:w="1756"/>
        <w:gridCol w:w="2155"/>
        <w:gridCol w:w="2163"/>
      </w:tblGrid>
      <w:tr w:rsidR="00E27E19" w:rsidRPr="00E27E19" w14:paraId="070D4E54" w14:textId="77777777" w:rsidTr="00E27E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845613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7E19">
              <w:rPr>
                <w:rFonts w:ascii="Arial" w:hAnsi="Arial" w:cs="Arial"/>
                <w:b/>
                <w:bCs/>
                <w:sz w:val="18"/>
                <w:szCs w:val="18"/>
              </w:rPr>
              <w:t>Criterios</w:t>
            </w:r>
          </w:p>
        </w:tc>
        <w:tc>
          <w:tcPr>
            <w:tcW w:w="0" w:type="auto"/>
            <w:vAlign w:val="center"/>
            <w:hideMark/>
          </w:tcPr>
          <w:p w14:paraId="40E6D2FF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7E19">
              <w:rPr>
                <w:rFonts w:ascii="Arial" w:hAnsi="Arial" w:cs="Arial"/>
                <w:b/>
                <w:bCs/>
                <w:sz w:val="18"/>
                <w:szCs w:val="18"/>
              </w:rPr>
              <w:t>Inicio</w:t>
            </w:r>
          </w:p>
        </w:tc>
        <w:tc>
          <w:tcPr>
            <w:tcW w:w="0" w:type="auto"/>
            <w:vAlign w:val="center"/>
            <w:hideMark/>
          </w:tcPr>
          <w:p w14:paraId="72394E09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7E19">
              <w:rPr>
                <w:rFonts w:ascii="Arial" w:hAnsi="Arial" w:cs="Arial"/>
                <w:b/>
                <w:bCs/>
                <w:sz w:val="18"/>
                <w:szCs w:val="18"/>
              </w:rPr>
              <w:t>En proceso</w:t>
            </w:r>
          </w:p>
        </w:tc>
        <w:tc>
          <w:tcPr>
            <w:tcW w:w="0" w:type="auto"/>
            <w:vAlign w:val="center"/>
            <w:hideMark/>
          </w:tcPr>
          <w:p w14:paraId="1B73A176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7E19">
              <w:rPr>
                <w:rFonts w:ascii="Arial" w:hAnsi="Arial" w:cs="Arial"/>
                <w:b/>
                <w:bCs/>
                <w:sz w:val="18"/>
                <w:szCs w:val="18"/>
              </w:rPr>
              <w:t>Logro esperado</w:t>
            </w:r>
          </w:p>
        </w:tc>
        <w:tc>
          <w:tcPr>
            <w:tcW w:w="0" w:type="auto"/>
            <w:vAlign w:val="center"/>
            <w:hideMark/>
          </w:tcPr>
          <w:p w14:paraId="3E05FED0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7E19">
              <w:rPr>
                <w:rFonts w:ascii="Arial" w:hAnsi="Arial" w:cs="Arial"/>
                <w:b/>
                <w:bCs/>
                <w:sz w:val="18"/>
                <w:szCs w:val="18"/>
              </w:rPr>
              <w:t>Logro destacado</w:t>
            </w:r>
          </w:p>
        </w:tc>
      </w:tr>
      <w:tr w:rsidR="00E27E19" w:rsidRPr="00E27E19" w14:paraId="2A0F5B54" w14:textId="77777777" w:rsidTr="00E27E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829B0C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Identifica las instituciones financieras y reguladoras.</w:t>
            </w:r>
          </w:p>
        </w:tc>
        <w:tc>
          <w:tcPr>
            <w:tcW w:w="0" w:type="auto"/>
            <w:vAlign w:val="center"/>
            <w:hideMark/>
          </w:tcPr>
          <w:p w14:paraId="4182ED7B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Reconoce pocas instituciones o confunde sus funciones.</w:t>
            </w:r>
          </w:p>
        </w:tc>
        <w:tc>
          <w:tcPr>
            <w:tcW w:w="0" w:type="auto"/>
            <w:vAlign w:val="center"/>
            <w:hideMark/>
          </w:tcPr>
          <w:p w14:paraId="56DD6485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Identifica algunas instituciones, pero presenta confusiones.</w:t>
            </w:r>
          </w:p>
        </w:tc>
        <w:tc>
          <w:tcPr>
            <w:tcW w:w="0" w:type="auto"/>
            <w:vAlign w:val="center"/>
            <w:hideMark/>
          </w:tcPr>
          <w:p w14:paraId="06661E2F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Identifica las instituciones trabajadas y explica sus funciones principales.</w:t>
            </w:r>
          </w:p>
        </w:tc>
        <w:tc>
          <w:tcPr>
            <w:tcW w:w="0" w:type="auto"/>
            <w:vAlign w:val="center"/>
            <w:hideMark/>
          </w:tcPr>
          <w:p w14:paraId="16A098B7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Explica las funciones y establece relaciones claras entre las instituciones.</w:t>
            </w:r>
          </w:p>
        </w:tc>
      </w:tr>
      <w:tr w:rsidR="00E27E19" w:rsidRPr="00E27E19" w14:paraId="3DFEE003" w14:textId="77777777" w:rsidTr="00E27E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2F7DDC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Compara bancos, cajas municipales y empresas financieras.</w:t>
            </w:r>
          </w:p>
        </w:tc>
        <w:tc>
          <w:tcPr>
            <w:tcW w:w="0" w:type="auto"/>
            <w:vAlign w:val="center"/>
            <w:hideMark/>
          </w:tcPr>
          <w:p w14:paraId="7AFC1A50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Menciona nombres sin explicar sus diferencias.</w:t>
            </w:r>
          </w:p>
        </w:tc>
        <w:tc>
          <w:tcPr>
            <w:tcW w:w="0" w:type="auto"/>
            <w:vAlign w:val="center"/>
            <w:hideMark/>
          </w:tcPr>
          <w:p w14:paraId="348A7483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Señala algunas diferencias con apoyo del docente.</w:t>
            </w:r>
          </w:p>
        </w:tc>
        <w:tc>
          <w:tcPr>
            <w:tcW w:w="0" w:type="auto"/>
            <w:vAlign w:val="center"/>
            <w:hideMark/>
          </w:tcPr>
          <w:p w14:paraId="3EA48C66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Compara sus servicios y reconoce que las condiciones varían según la entidad.</w:t>
            </w:r>
          </w:p>
        </w:tc>
        <w:tc>
          <w:tcPr>
            <w:tcW w:w="0" w:type="auto"/>
            <w:vAlign w:val="center"/>
            <w:hideMark/>
          </w:tcPr>
          <w:p w14:paraId="49AAF17B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Compara las opciones con ejemplos y justifica qué información se debe revisar.</w:t>
            </w:r>
          </w:p>
        </w:tc>
      </w:tr>
      <w:tr w:rsidR="00E27E19" w:rsidRPr="00E27E19" w14:paraId="50762828" w14:textId="77777777" w:rsidTr="00E27E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E4B53E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Propone medidas para proteger los ahorros.</w:t>
            </w:r>
          </w:p>
        </w:tc>
        <w:tc>
          <w:tcPr>
            <w:tcW w:w="0" w:type="auto"/>
            <w:vAlign w:val="center"/>
            <w:hideMark/>
          </w:tcPr>
          <w:p w14:paraId="620A09C7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Presenta recomendaciones poco claras o insuficientes.</w:t>
            </w:r>
          </w:p>
        </w:tc>
        <w:tc>
          <w:tcPr>
            <w:tcW w:w="0" w:type="auto"/>
            <w:vAlign w:val="center"/>
            <w:hideMark/>
          </w:tcPr>
          <w:p w14:paraId="3625F3AE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Propone algunas medidas de seguridad.</w:t>
            </w:r>
          </w:p>
        </w:tc>
        <w:tc>
          <w:tcPr>
            <w:tcW w:w="0" w:type="auto"/>
            <w:vAlign w:val="center"/>
            <w:hideMark/>
          </w:tcPr>
          <w:p w14:paraId="690232A0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Formula tres recomendaciones pertinentes para verificar entidades y proteger datos.</w:t>
            </w:r>
          </w:p>
        </w:tc>
        <w:tc>
          <w:tcPr>
            <w:tcW w:w="0" w:type="auto"/>
            <w:vAlign w:val="center"/>
            <w:hideMark/>
          </w:tcPr>
          <w:p w14:paraId="145D0ADB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Fundamenta sus recomendaciones y las aplica a situaciones concretas.</w:t>
            </w:r>
          </w:p>
        </w:tc>
      </w:tr>
      <w:tr w:rsidR="00E27E19" w:rsidRPr="00E27E19" w14:paraId="331FD335" w14:textId="77777777" w:rsidTr="00E27E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EF7400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Elabora y comunica el organizador visual.</w:t>
            </w:r>
          </w:p>
        </w:tc>
        <w:tc>
          <w:tcPr>
            <w:tcW w:w="0" w:type="auto"/>
            <w:vAlign w:val="center"/>
            <w:hideMark/>
          </w:tcPr>
          <w:p w14:paraId="00420C4E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Presenta información incompleta y desordenada.</w:t>
            </w:r>
          </w:p>
        </w:tc>
        <w:tc>
          <w:tcPr>
            <w:tcW w:w="0" w:type="auto"/>
            <w:vAlign w:val="center"/>
            <w:hideMark/>
          </w:tcPr>
          <w:p w14:paraId="00DEB9D2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Organiza información básica, aunque requiere mejorar su claridad.</w:t>
            </w:r>
          </w:p>
        </w:tc>
        <w:tc>
          <w:tcPr>
            <w:tcW w:w="0" w:type="auto"/>
            <w:vAlign w:val="center"/>
            <w:hideMark/>
          </w:tcPr>
          <w:p w14:paraId="7B8B6A94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Presenta información ordenada, comprensible y relacionada con el propósito.</w:t>
            </w:r>
          </w:p>
        </w:tc>
        <w:tc>
          <w:tcPr>
            <w:tcW w:w="0" w:type="auto"/>
            <w:vAlign w:val="center"/>
            <w:hideMark/>
          </w:tcPr>
          <w:p w14:paraId="2E84AE4F" w14:textId="77777777" w:rsidR="00E27E19" w:rsidRPr="00E27E19" w:rsidRDefault="00E27E19" w:rsidP="00E27E19">
            <w:pPr>
              <w:pStyle w:val="Prrafodelista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E27E19">
              <w:rPr>
                <w:rFonts w:ascii="Arial" w:hAnsi="Arial" w:cs="Arial"/>
                <w:sz w:val="18"/>
                <w:szCs w:val="18"/>
              </w:rPr>
              <w:t>Integra conceptos, ejemplos y conclusiones con claridad y autonomía.</w:t>
            </w:r>
          </w:p>
        </w:tc>
      </w:tr>
    </w:tbl>
    <w:p w14:paraId="66F66F2B" w14:textId="77777777" w:rsidR="00E27E19" w:rsidRPr="00E27E19" w:rsidRDefault="00E27E19" w:rsidP="00E27E19">
      <w:pPr>
        <w:pStyle w:val="Prrafodelista"/>
        <w:ind w:left="567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Orientaciones para la evaluación formativa</w:t>
      </w:r>
    </w:p>
    <w:p w14:paraId="1713B970" w14:textId="77777777" w:rsidR="00E27E19" w:rsidRPr="00E27E19" w:rsidRDefault="00E27E19">
      <w:pPr>
        <w:pStyle w:val="Prrafodelista"/>
        <w:numPr>
          <w:ilvl w:val="0"/>
          <w:numId w:val="10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El docente observa la participación, la colaboración y el uso de información financiera correcta.</w:t>
      </w:r>
    </w:p>
    <w:p w14:paraId="6ABDB7FB" w14:textId="77777777" w:rsidR="00E27E19" w:rsidRPr="00E27E19" w:rsidRDefault="00E27E19">
      <w:pPr>
        <w:pStyle w:val="Prrafodelista"/>
        <w:numPr>
          <w:ilvl w:val="0"/>
          <w:numId w:val="10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Brinda retroalimentación descriptiva: qué se logró, qué necesita mejorar y cómo hacerlo.</w:t>
      </w:r>
    </w:p>
    <w:p w14:paraId="0B47FE2A" w14:textId="77777777" w:rsidR="00E27E19" w:rsidRPr="00E27E19" w:rsidRDefault="00E27E19">
      <w:pPr>
        <w:pStyle w:val="Prrafodelista"/>
        <w:numPr>
          <w:ilvl w:val="0"/>
          <w:numId w:val="10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Los estudiantes revisan su organizador antes de entregarlo.</w:t>
      </w:r>
    </w:p>
    <w:p w14:paraId="63EE4CE6" w14:textId="77777777" w:rsidR="00E27E19" w:rsidRPr="00E27E19" w:rsidRDefault="00E27E19">
      <w:pPr>
        <w:pStyle w:val="Prrafodelista"/>
        <w:numPr>
          <w:ilvl w:val="0"/>
          <w:numId w:val="10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Se valora el razonamiento y la toma de decisiones fundamentadas, no solamente la presentación gráfica.</w:t>
      </w:r>
    </w:p>
    <w:p w14:paraId="480903DF" w14:textId="77777777" w:rsidR="00E27E19" w:rsidRPr="00E27E19" w:rsidRDefault="00E27E19" w:rsidP="00E27E19">
      <w:pPr>
        <w:pStyle w:val="Prrafodelista"/>
        <w:ind w:left="567" w:hanging="567"/>
        <w:rPr>
          <w:rFonts w:ascii="Arial" w:hAnsi="Arial" w:cs="Arial"/>
          <w:b/>
          <w:bCs/>
          <w:sz w:val="18"/>
          <w:szCs w:val="18"/>
        </w:rPr>
      </w:pPr>
      <w:r w:rsidRPr="00E27E19">
        <w:rPr>
          <w:rFonts w:ascii="Arial" w:hAnsi="Arial" w:cs="Arial"/>
          <w:b/>
          <w:bCs/>
          <w:sz w:val="18"/>
          <w:szCs w:val="18"/>
        </w:rPr>
        <w:t>XII. MATERIALES Y RECURSOS</w:t>
      </w:r>
    </w:p>
    <w:p w14:paraId="1CE66691" w14:textId="77777777" w:rsidR="00E27E19" w:rsidRPr="00E27E19" w:rsidRDefault="00E27E19">
      <w:pPr>
        <w:pStyle w:val="Prrafodelista"/>
        <w:numPr>
          <w:ilvl w:val="0"/>
          <w:numId w:val="11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Pizarra, plumones y papelotes.</w:t>
      </w:r>
    </w:p>
    <w:p w14:paraId="4DF9995F" w14:textId="77777777" w:rsidR="00E27E19" w:rsidRPr="00E27E19" w:rsidRDefault="00E27E19">
      <w:pPr>
        <w:pStyle w:val="Prrafodelista"/>
        <w:numPr>
          <w:ilvl w:val="0"/>
          <w:numId w:val="11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Cuaderno de trabajo y hojas de aplicación.</w:t>
      </w:r>
    </w:p>
    <w:p w14:paraId="7B7DC366" w14:textId="77777777" w:rsidR="00E27E19" w:rsidRPr="00E27E19" w:rsidRDefault="00E27E19">
      <w:pPr>
        <w:pStyle w:val="Prrafodelista"/>
        <w:numPr>
          <w:ilvl w:val="0"/>
          <w:numId w:val="11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Fichas con situaciones financieras.</w:t>
      </w:r>
    </w:p>
    <w:p w14:paraId="22BE23DB" w14:textId="77777777" w:rsidR="00E27E19" w:rsidRPr="00E27E19" w:rsidRDefault="00E27E19">
      <w:pPr>
        <w:pStyle w:val="Prrafodelista"/>
        <w:numPr>
          <w:ilvl w:val="0"/>
          <w:numId w:val="11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Cartulinas, lápices de colores o plumones.</w:t>
      </w:r>
    </w:p>
    <w:p w14:paraId="73724F83" w14:textId="77777777" w:rsidR="00E27E19" w:rsidRPr="00E27E19" w:rsidRDefault="00E27E19">
      <w:pPr>
        <w:pStyle w:val="Prrafodelista"/>
        <w:numPr>
          <w:ilvl w:val="0"/>
          <w:numId w:val="11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Calculadora, si fuera necesaria.</w:t>
      </w:r>
    </w:p>
    <w:p w14:paraId="03615552" w14:textId="77777777" w:rsidR="00E27E19" w:rsidRPr="00E27E19" w:rsidRDefault="00E27E19">
      <w:pPr>
        <w:pStyle w:val="Prrafodelista"/>
        <w:numPr>
          <w:ilvl w:val="0"/>
          <w:numId w:val="11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Proyector o computadora, si están disponibles.</w:t>
      </w:r>
    </w:p>
    <w:p w14:paraId="4812E0AA" w14:textId="77777777" w:rsidR="00E27E19" w:rsidRPr="00E27E19" w:rsidRDefault="00E27E19">
      <w:pPr>
        <w:pStyle w:val="Prrafodelista"/>
        <w:numPr>
          <w:ilvl w:val="0"/>
          <w:numId w:val="11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Recursos informativos oficiales de la SBS y del BCRP.</w:t>
      </w:r>
    </w:p>
    <w:p w14:paraId="1741A43D" w14:textId="77777777" w:rsidR="00E27E19" w:rsidRPr="00E27E19" w:rsidRDefault="00E27E19" w:rsidP="00E27E19">
      <w:pPr>
        <w:pStyle w:val="Prrafodelista"/>
        <w:ind w:left="567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Para ampliar o contrastar la información con fuentes oficiales, el docente puede consultar:</w:t>
      </w:r>
    </w:p>
    <w:p w14:paraId="4C4680C4" w14:textId="77777777" w:rsidR="00E27E19" w:rsidRPr="00E27E19" w:rsidRDefault="00E27E19">
      <w:pPr>
        <w:pStyle w:val="Prrafodelista"/>
        <w:numPr>
          <w:ilvl w:val="0"/>
          <w:numId w:val="12"/>
        </w:numPr>
        <w:rPr>
          <w:rFonts w:ascii="Arial" w:hAnsi="Arial" w:cs="Arial"/>
          <w:sz w:val="18"/>
          <w:szCs w:val="18"/>
        </w:rPr>
      </w:pPr>
      <w:hyperlink r:id="rId5" w:history="1">
        <w:r w:rsidRPr="00E27E19">
          <w:rPr>
            <w:rStyle w:val="Hipervnculo"/>
            <w:rFonts w:ascii="Arial" w:hAnsi="Arial" w:cs="Arial"/>
            <w:sz w:val="18"/>
            <w:szCs w:val="18"/>
          </w:rPr>
          <w:t>SBS: entidades autorizadas a captar depósitos</w:t>
        </w:r>
      </w:hyperlink>
      <w:r w:rsidRPr="00E27E19">
        <w:rPr>
          <w:rFonts w:ascii="Arial" w:hAnsi="Arial" w:cs="Arial"/>
          <w:sz w:val="18"/>
          <w:szCs w:val="18"/>
        </w:rPr>
        <w:t xml:space="preserve">. La SBS recomienda verificar la autorización de una entidad antes de depositar dinero. </w:t>
      </w:r>
    </w:p>
    <w:p w14:paraId="47C6B96B" w14:textId="193A51B2" w:rsidR="00E27E19" w:rsidRPr="00E27E19" w:rsidRDefault="00E27E19" w:rsidP="00E27E19">
      <w:pPr>
        <w:pStyle w:val="Prrafodelista"/>
        <w:ind w:left="567" w:hanging="567"/>
        <w:jc w:val="center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drawing>
          <wp:inline distT="0" distB="0" distL="0" distR="0" wp14:anchorId="653EADDB" wp14:editId="1422E1BA">
            <wp:extent cx="304800" cy="30480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40C06" w14:textId="77777777" w:rsidR="00E27E19" w:rsidRPr="00E27E19" w:rsidRDefault="00E27E19" w:rsidP="00E27E19">
      <w:pPr>
        <w:pStyle w:val="Prrafodelista"/>
        <w:ind w:left="567" w:hanging="567"/>
        <w:jc w:val="center"/>
        <w:rPr>
          <w:rFonts w:ascii="Arial" w:hAnsi="Arial" w:cs="Arial"/>
          <w:sz w:val="18"/>
          <w:szCs w:val="18"/>
        </w:rPr>
      </w:pPr>
      <w:proofErr w:type="spellStart"/>
      <w:r w:rsidRPr="00E27E19">
        <w:rPr>
          <w:rFonts w:ascii="Arial" w:hAnsi="Arial" w:cs="Arial"/>
          <w:sz w:val="18"/>
          <w:szCs w:val="18"/>
        </w:rPr>
        <w:t>SBSPerú</w:t>
      </w:r>
      <w:proofErr w:type="spellEnd"/>
    </w:p>
    <w:p w14:paraId="550E06F7" w14:textId="77777777" w:rsidR="00E27E19" w:rsidRPr="00E27E19" w:rsidRDefault="00E27E19" w:rsidP="00E27E19">
      <w:pPr>
        <w:pStyle w:val="Prrafodelista"/>
        <w:ind w:left="567" w:hanging="567"/>
        <w:jc w:val="center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+1</w:t>
      </w:r>
    </w:p>
    <w:p w14:paraId="162E01D5" w14:textId="77777777" w:rsidR="00E27E19" w:rsidRPr="00E27E19" w:rsidRDefault="00E27E19">
      <w:pPr>
        <w:pStyle w:val="Prrafodelista"/>
        <w:numPr>
          <w:ilvl w:val="0"/>
          <w:numId w:val="12"/>
        </w:numPr>
        <w:rPr>
          <w:rFonts w:ascii="Arial" w:hAnsi="Arial" w:cs="Arial"/>
          <w:sz w:val="18"/>
          <w:szCs w:val="18"/>
        </w:rPr>
      </w:pPr>
      <w:hyperlink r:id="rId7" w:history="1">
        <w:r w:rsidRPr="00E27E19">
          <w:rPr>
            <w:rStyle w:val="Hipervnculo"/>
            <w:rFonts w:ascii="Arial" w:hAnsi="Arial" w:cs="Arial"/>
            <w:sz w:val="18"/>
            <w:szCs w:val="18"/>
          </w:rPr>
          <w:t>BCRP: misión y funciones</w:t>
        </w:r>
      </w:hyperlink>
      <w:r w:rsidRPr="00E27E19">
        <w:rPr>
          <w:rFonts w:ascii="Arial" w:hAnsi="Arial" w:cs="Arial"/>
          <w:sz w:val="18"/>
          <w:szCs w:val="18"/>
        </w:rPr>
        <w:t xml:space="preserve">. Explica la finalidad de preservar la estabilidad monetaria y las funciones del Banco Central. </w:t>
      </w:r>
    </w:p>
    <w:p w14:paraId="7E090285" w14:textId="725F6EE1" w:rsidR="00E27E19" w:rsidRPr="00E27E19" w:rsidRDefault="00E27E19" w:rsidP="00E27E19">
      <w:pPr>
        <w:pStyle w:val="Prrafodelista"/>
        <w:ind w:left="567" w:hanging="567"/>
        <w:jc w:val="center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drawing>
          <wp:inline distT="0" distB="0" distL="0" distR="0" wp14:anchorId="30A09688" wp14:editId="61401480">
            <wp:extent cx="304800" cy="3048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2A6B9" w14:textId="77777777" w:rsidR="00E27E19" w:rsidRPr="00E27E19" w:rsidRDefault="00E27E19" w:rsidP="00E27E19">
      <w:pPr>
        <w:pStyle w:val="Prrafodelista"/>
        <w:ind w:left="567" w:hanging="567"/>
        <w:jc w:val="center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Banco Central de Reserva del Perú</w:t>
      </w:r>
    </w:p>
    <w:p w14:paraId="72B2CB2A" w14:textId="77777777" w:rsidR="00E27E19" w:rsidRPr="00E27E19" w:rsidRDefault="00E27E19" w:rsidP="00E27E19">
      <w:pPr>
        <w:pStyle w:val="Prrafodelista"/>
        <w:ind w:left="567" w:hanging="567"/>
        <w:jc w:val="center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+1</w:t>
      </w:r>
    </w:p>
    <w:p w14:paraId="502900CB" w14:textId="77777777" w:rsidR="00E27E19" w:rsidRPr="00E27E19" w:rsidRDefault="00E27E19" w:rsidP="00E27E19">
      <w:pPr>
        <w:pStyle w:val="Prrafodelista"/>
        <w:ind w:left="567" w:hanging="567"/>
        <w:rPr>
          <w:rFonts w:ascii="Arial" w:hAnsi="Arial" w:cs="Arial"/>
          <w:b/>
          <w:bCs/>
          <w:sz w:val="18"/>
          <w:szCs w:val="18"/>
        </w:rPr>
      </w:pPr>
      <w:r w:rsidRPr="00E27E19">
        <w:rPr>
          <w:rFonts w:ascii="Arial" w:hAnsi="Arial" w:cs="Arial"/>
          <w:b/>
          <w:bCs/>
          <w:sz w:val="18"/>
          <w:szCs w:val="18"/>
        </w:rPr>
        <w:t>XIII. ACTIVIDAD DE EXTENSIÓN</w:t>
      </w:r>
    </w:p>
    <w:p w14:paraId="5010535F" w14:textId="77777777" w:rsidR="00E27E19" w:rsidRPr="00E27E19" w:rsidRDefault="00E27E19" w:rsidP="00E27E19">
      <w:pPr>
        <w:pStyle w:val="Prrafodelista"/>
        <w:ind w:left="567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Título: “Investigo antes de confiar mi dinero”</w:t>
      </w:r>
    </w:p>
    <w:p w14:paraId="1D5B455F" w14:textId="77777777" w:rsidR="00E27E19" w:rsidRPr="00E27E19" w:rsidRDefault="00E27E19" w:rsidP="00E27E19">
      <w:pPr>
        <w:pStyle w:val="Prrafodelista"/>
        <w:ind w:left="567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Los estudiantes elaboran una ficha informativa, sin utilizar datos personales ni compartir información económica privada de sus familias.</w:t>
      </w:r>
    </w:p>
    <w:p w14:paraId="51810987" w14:textId="77777777" w:rsidR="00E27E19" w:rsidRPr="00E27E19" w:rsidRDefault="00E27E19" w:rsidP="00E27E19">
      <w:pPr>
        <w:pStyle w:val="Prrafodelista"/>
        <w:ind w:left="567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Deben responder:</w:t>
      </w:r>
    </w:p>
    <w:p w14:paraId="5E576CD6" w14:textId="77777777" w:rsidR="00E27E19" w:rsidRPr="00E27E19" w:rsidRDefault="00E27E19">
      <w:pPr>
        <w:pStyle w:val="Prrafodelista"/>
        <w:numPr>
          <w:ilvl w:val="0"/>
          <w:numId w:val="13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lastRenderedPageBreak/>
        <w:t>¿Qué es una entidad financiera?</w:t>
      </w:r>
    </w:p>
    <w:p w14:paraId="5AF7440D" w14:textId="77777777" w:rsidR="00E27E19" w:rsidRPr="00E27E19" w:rsidRDefault="00E27E19">
      <w:pPr>
        <w:pStyle w:val="Prrafodelista"/>
        <w:numPr>
          <w:ilvl w:val="0"/>
          <w:numId w:val="13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¿Qué diferencia existe entre la SBS y el BCRP?</w:t>
      </w:r>
    </w:p>
    <w:p w14:paraId="5AFA9FA8" w14:textId="77777777" w:rsidR="00E27E19" w:rsidRPr="00E27E19" w:rsidRDefault="00E27E19">
      <w:pPr>
        <w:pStyle w:val="Prrafodelista"/>
        <w:numPr>
          <w:ilvl w:val="0"/>
          <w:numId w:val="13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¿Qué información se debe verificar antes de depositar dinero?</w:t>
      </w:r>
    </w:p>
    <w:p w14:paraId="5BCBD050" w14:textId="77777777" w:rsidR="00E27E19" w:rsidRPr="00E27E19" w:rsidRDefault="00E27E19">
      <w:pPr>
        <w:pStyle w:val="Prrafodelista"/>
        <w:numPr>
          <w:ilvl w:val="0"/>
          <w:numId w:val="13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¿Cuáles son tres señales de alerta ante una oferta financiera sospechosa?</w:t>
      </w:r>
    </w:p>
    <w:p w14:paraId="35037690" w14:textId="77777777" w:rsidR="00E27E19" w:rsidRPr="00E27E19" w:rsidRDefault="00E27E19">
      <w:pPr>
        <w:pStyle w:val="Prrafodelista"/>
        <w:numPr>
          <w:ilvl w:val="0"/>
          <w:numId w:val="13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¿Qué tres recomendaciones darías a otros adolescentes para proteger sus ahorros?</w:t>
      </w:r>
    </w:p>
    <w:p w14:paraId="60E8428F" w14:textId="77777777" w:rsidR="00E27E19" w:rsidRPr="00E27E19" w:rsidRDefault="00E27E19" w:rsidP="00E27E19">
      <w:pPr>
        <w:pStyle w:val="Prrafodelista"/>
        <w:ind w:left="567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Producto: ficha informativa de una página, escrita a mano o elaborada digitalmente.</w:t>
      </w:r>
    </w:p>
    <w:p w14:paraId="494E5665" w14:textId="77777777" w:rsidR="00E27E19" w:rsidRPr="00E27E19" w:rsidRDefault="00E27E19" w:rsidP="00E27E19">
      <w:pPr>
        <w:pStyle w:val="Prrafodelista"/>
        <w:ind w:left="567" w:hanging="567"/>
        <w:rPr>
          <w:rFonts w:ascii="Arial" w:hAnsi="Arial" w:cs="Arial"/>
          <w:b/>
          <w:bCs/>
          <w:sz w:val="18"/>
          <w:szCs w:val="18"/>
        </w:rPr>
      </w:pPr>
      <w:r w:rsidRPr="00E27E19">
        <w:rPr>
          <w:rFonts w:ascii="Arial" w:hAnsi="Arial" w:cs="Arial"/>
          <w:b/>
          <w:bCs/>
          <w:sz w:val="18"/>
          <w:szCs w:val="18"/>
        </w:rPr>
        <w:t>XIV. ATENCIÓN A LA DIVERSIDAD: PRINCIPIOS DEL DUA</w:t>
      </w:r>
    </w:p>
    <w:p w14:paraId="5D55307D" w14:textId="77777777" w:rsidR="00E27E19" w:rsidRPr="00E27E19" w:rsidRDefault="00E27E19">
      <w:pPr>
        <w:pStyle w:val="Prrafodelista"/>
        <w:numPr>
          <w:ilvl w:val="0"/>
          <w:numId w:val="14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Múltiples formas de representación: explicar los conceptos mediante ejemplos cotidianos, tablas, imágenes y organizadores gráficos.</w:t>
      </w:r>
    </w:p>
    <w:p w14:paraId="28321669" w14:textId="77777777" w:rsidR="00E27E19" w:rsidRPr="00E27E19" w:rsidRDefault="00E27E19">
      <w:pPr>
        <w:pStyle w:val="Prrafodelista"/>
        <w:numPr>
          <w:ilvl w:val="0"/>
          <w:numId w:val="14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Múltiples formas de acción y expresión: permitir que los estudiantes demuestren lo aprendido mediante mapas conceptuales, infografías, esquemas o explicaciones orales.</w:t>
      </w:r>
    </w:p>
    <w:p w14:paraId="24927C4F" w14:textId="77777777" w:rsidR="00E27E19" w:rsidRPr="00E27E19" w:rsidRDefault="00E27E19">
      <w:pPr>
        <w:pStyle w:val="Prrafodelista"/>
        <w:numPr>
          <w:ilvl w:val="0"/>
          <w:numId w:val="14"/>
        </w:numPr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Múltiples formas de implicación: presentar casos cercanos a la realidad adolescente, distribuir responsabilidades dentro de los equipos y ofrecer alternativas para participar.</w:t>
      </w:r>
    </w:p>
    <w:p w14:paraId="22B7A516" w14:textId="77777777" w:rsidR="00E27E19" w:rsidRPr="00E27E19" w:rsidRDefault="00E27E19" w:rsidP="00E27E19">
      <w:pPr>
        <w:pStyle w:val="Prrafodelista"/>
        <w:ind w:left="567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Se brindarán apoyos específicos según las necesidades de los estudiantes, como instrucciones por pasos, vocabulario clave, plantillas parcialmente completadas y tiempo adicional cuando corresponda.</w:t>
      </w:r>
    </w:p>
    <w:p w14:paraId="7A451448" w14:textId="77777777" w:rsidR="00E27E19" w:rsidRPr="00E27E19" w:rsidRDefault="00E27E19" w:rsidP="00E27E19">
      <w:pPr>
        <w:pStyle w:val="Prrafodelista"/>
        <w:ind w:left="567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Producto final de la sesión: organizador visual del sistema financiero peruano.</w:t>
      </w:r>
    </w:p>
    <w:p w14:paraId="4727FF73" w14:textId="77777777" w:rsidR="00E27E19" w:rsidRPr="00E27E19" w:rsidRDefault="00E27E19" w:rsidP="00E27E19">
      <w:pPr>
        <w:pStyle w:val="Prrafodelista"/>
        <w:ind w:left="567" w:hanging="567"/>
        <w:rPr>
          <w:rFonts w:ascii="Arial" w:hAnsi="Arial" w:cs="Arial"/>
          <w:sz w:val="18"/>
          <w:szCs w:val="18"/>
        </w:rPr>
      </w:pPr>
      <w:r w:rsidRPr="00E27E19">
        <w:rPr>
          <w:rFonts w:ascii="Arial" w:hAnsi="Arial" w:cs="Arial"/>
          <w:sz w:val="18"/>
          <w:szCs w:val="18"/>
        </w:rPr>
        <w:t>Instrumento: rúbrica analítica.</w:t>
      </w:r>
    </w:p>
    <w:p w14:paraId="6CE24E38" w14:textId="77777777" w:rsidR="00900DCA" w:rsidRDefault="00900DCA" w:rsidP="008E5C8D">
      <w:pPr>
        <w:pStyle w:val="Prrafodelista"/>
        <w:ind w:left="567" w:hanging="567"/>
        <w:rPr>
          <w:rFonts w:ascii="Arial" w:hAnsi="Arial" w:cs="Arial"/>
          <w:sz w:val="18"/>
          <w:szCs w:val="18"/>
          <w:lang w:val="es-419"/>
        </w:rPr>
      </w:pPr>
    </w:p>
    <w:p w14:paraId="40DF9C6D" w14:textId="77777777" w:rsidR="00900DCA" w:rsidRDefault="00900DCA" w:rsidP="008E5C8D">
      <w:pPr>
        <w:pStyle w:val="Prrafodelista"/>
        <w:ind w:left="567" w:hanging="567"/>
        <w:rPr>
          <w:rFonts w:ascii="Arial" w:hAnsi="Arial" w:cs="Arial"/>
          <w:sz w:val="18"/>
          <w:szCs w:val="18"/>
          <w:lang w:val="es-419"/>
        </w:rPr>
      </w:pPr>
    </w:p>
    <w:p w14:paraId="5D80D298" w14:textId="77777777" w:rsidR="00BE794D" w:rsidRDefault="00BE794D" w:rsidP="008E5C8D">
      <w:pPr>
        <w:pStyle w:val="Prrafodelista"/>
        <w:ind w:left="567" w:hanging="567"/>
        <w:rPr>
          <w:rFonts w:ascii="Arial" w:hAnsi="Arial" w:cs="Arial"/>
          <w:sz w:val="18"/>
          <w:szCs w:val="18"/>
          <w:lang w:val="es-419"/>
        </w:rPr>
      </w:pPr>
    </w:p>
    <w:p w14:paraId="321BF89F" w14:textId="77777777" w:rsidR="00BE794D" w:rsidRPr="00A27927" w:rsidRDefault="00BE794D" w:rsidP="008E5C8D">
      <w:pPr>
        <w:pStyle w:val="Prrafodelista"/>
        <w:ind w:left="567" w:hanging="567"/>
        <w:rPr>
          <w:rFonts w:ascii="Arial" w:hAnsi="Arial" w:cs="Arial"/>
          <w:sz w:val="18"/>
          <w:szCs w:val="18"/>
          <w:lang w:val="es-419"/>
        </w:rPr>
      </w:pPr>
    </w:p>
    <w:tbl>
      <w:tblPr>
        <w:tblStyle w:val="Tablaconcuadrcula"/>
        <w:tblpPr w:leftFromText="180" w:rightFromText="180" w:vertAnchor="text" w:horzAnchor="margin" w:tblpY="9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3273"/>
        <w:gridCol w:w="3324"/>
      </w:tblGrid>
      <w:tr w:rsidR="008E5C8D" w:rsidRPr="00927D92" w14:paraId="0E2D5845" w14:textId="77777777" w:rsidTr="00696FEA">
        <w:tc>
          <w:tcPr>
            <w:tcW w:w="4655" w:type="dxa"/>
          </w:tcPr>
          <w:p w14:paraId="761DB8B6" w14:textId="77777777" w:rsidR="008E5C8D" w:rsidRDefault="008E5C8D" w:rsidP="00696FEA">
            <w:pPr>
              <w:jc w:val="center"/>
              <w:rPr>
                <w:rFonts w:ascii="Arial" w:hAnsi="Arial" w:cs="Arial"/>
                <w:sz w:val="18"/>
                <w:szCs w:val="18"/>
                <w:lang w:val="es-419"/>
              </w:rPr>
            </w:pPr>
          </w:p>
          <w:p w14:paraId="6D440CDC" w14:textId="77777777" w:rsidR="00900DCA" w:rsidRDefault="00900DCA" w:rsidP="00696FEA">
            <w:pPr>
              <w:jc w:val="center"/>
              <w:rPr>
                <w:rFonts w:ascii="Arial" w:hAnsi="Arial" w:cs="Arial"/>
                <w:sz w:val="18"/>
                <w:szCs w:val="18"/>
                <w:lang w:val="es-419"/>
              </w:rPr>
            </w:pPr>
          </w:p>
          <w:p w14:paraId="66AE3FBE" w14:textId="77777777" w:rsidR="00900DCA" w:rsidRDefault="00900DCA" w:rsidP="00696FEA">
            <w:pPr>
              <w:jc w:val="center"/>
              <w:rPr>
                <w:rFonts w:ascii="Arial" w:hAnsi="Arial" w:cs="Arial"/>
                <w:sz w:val="18"/>
                <w:szCs w:val="18"/>
                <w:lang w:val="es-419"/>
              </w:rPr>
            </w:pPr>
          </w:p>
          <w:p w14:paraId="45D0448C" w14:textId="77777777" w:rsidR="00900DCA" w:rsidRDefault="00900DCA" w:rsidP="00696FEA">
            <w:pPr>
              <w:jc w:val="center"/>
              <w:rPr>
                <w:rFonts w:ascii="Arial" w:hAnsi="Arial" w:cs="Arial"/>
                <w:sz w:val="18"/>
                <w:szCs w:val="18"/>
                <w:lang w:val="es-419"/>
              </w:rPr>
            </w:pPr>
          </w:p>
          <w:p w14:paraId="61E2979B" w14:textId="77777777" w:rsidR="00900DCA" w:rsidRDefault="00900DCA" w:rsidP="00696FEA">
            <w:pPr>
              <w:jc w:val="center"/>
              <w:rPr>
                <w:rFonts w:ascii="Arial" w:hAnsi="Arial" w:cs="Arial"/>
                <w:sz w:val="18"/>
                <w:szCs w:val="18"/>
                <w:lang w:val="es-419"/>
              </w:rPr>
            </w:pPr>
          </w:p>
          <w:p w14:paraId="4CDF12F6" w14:textId="77777777" w:rsidR="00900DCA" w:rsidRPr="00A27927" w:rsidRDefault="00900DCA" w:rsidP="00696FEA">
            <w:pPr>
              <w:jc w:val="center"/>
              <w:rPr>
                <w:rFonts w:ascii="Arial" w:hAnsi="Arial" w:cs="Arial"/>
                <w:sz w:val="18"/>
                <w:szCs w:val="18"/>
                <w:lang w:val="es-419"/>
              </w:rPr>
            </w:pPr>
          </w:p>
        </w:tc>
        <w:tc>
          <w:tcPr>
            <w:tcW w:w="4582" w:type="dxa"/>
          </w:tcPr>
          <w:p w14:paraId="24E758A9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</w:p>
        </w:tc>
        <w:tc>
          <w:tcPr>
            <w:tcW w:w="4655" w:type="dxa"/>
          </w:tcPr>
          <w:p w14:paraId="5A411772" w14:textId="77777777" w:rsidR="008E5C8D" w:rsidRPr="00A27927" w:rsidRDefault="008E5C8D" w:rsidP="00696FEA">
            <w:pPr>
              <w:jc w:val="center"/>
              <w:rPr>
                <w:rFonts w:ascii="Arial" w:hAnsi="Arial" w:cs="Arial"/>
                <w:sz w:val="18"/>
                <w:szCs w:val="18"/>
                <w:lang w:val="es-419"/>
              </w:rPr>
            </w:pPr>
          </w:p>
        </w:tc>
      </w:tr>
    </w:tbl>
    <w:p w14:paraId="7C9FF919" w14:textId="77777777" w:rsidR="008E5C8D" w:rsidRPr="00A27927" w:rsidRDefault="008E5C8D" w:rsidP="008E5C8D">
      <w:pPr>
        <w:pStyle w:val="Prrafodelista"/>
        <w:ind w:left="567" w:hanging="567"/>
        <w:rPr>
          <w:rFonts w:ascii="Arial" w:hAnsi="Arial" w:cs="Arial"/>
          <w:sz w:val="18"/>
          <w:szCs w:val="18"/>
          <w:lang w:val="es-419"/>
        </w:rPr>
      </w:pPr>
      <w:r w:rsidRPr="00A27927">
        <w:rPr>
          <w:rFonts w:ascii="Arial" w:hAnsi="Arial" w:cs="Arial"/>
          <w:b/>
          <w:noProof/>
          <w:color w:val="000000" w:themeColor="text1"/>
          <w:sz w:val="18"/>
          <w:szCs w:val="18"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EC1BEF" wp14:editId="66F89B3B">
                <wp:simplePos x="0" y="0"/>
                <wp:positionH relativeFrom="column">
                  <wp:posOffset>3930015</wp:posOffset>
                </wp:positionH>
                <wp:positionV relativeFrom="paragraph">
                  <wp:posOffset>290195</wp:posOffset>
                </wp:positionV>
                <wp:extent cx="2600325" cy="819150"/>
                <wp:effectExtent l="0" t="0" r="9525" b="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3A3984" w14:textId="77777777" w:rsidR="00696FEA" w:rsidRDefault="00696FEA" w:rsidP="008E5C8D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lang w:val="es-MX"/>
                              </w:rPr>
                            </w:pPr>
                          </w:p>
                          <w:p w14:paraId="23BD4004" w14:textId="77777777" w:rsidR="00696FEA" w:rsidRPr="00326DDF" w:rsidRDefault="00696FEA" w:rsidP="008E5C8D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326DD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es-ES"/>
                              </w:rPr>
                              <w:t>Profesor Francis R. Chávez Paredes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C1BEF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left:0;text-align:left;margin-left:309.45pt;margin-top:22.85pt;width:204.75pt;height:6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" fillcolor="white [3201]" stroked="f" strokeweight=".5pt">
                <v:textbox>
                  <w:txbxContent>
                    <w:p w14:paraId="1B3A3984" w14:textId="77777777" w:rsidR="00696FEA" w:rsidRDefault="00696FEA" w:rsidP="008E5C8D">
                      <w:pPr>
                        <w:pBdr>
                          <w:bottom w:val="single" w:sz="12" w:space="1" w:color="auto"/>
                        </w:pBdr>
                        <w:rPr>
                          <w:lang w:val="es-MX"/>
                        </w:rPr>
                      </w:pPr>
                    </w:p>
                    <w:p w14:paraId="23BD4004" w14:textId="77777777" w:rsidR="00696FEA" w:rsidRPr="00326DDF" w:rsidRDefault="00696FEA" w:rsidP="008E5C8D">
                      <w:pPr>
                        <w:jc w:val="center"/>
                        <w:rPr>
                          <w:sz w:val="20"/>
                          <w:szCs w:val="20"/>
                          <w:lang w:val="es-MX"/>
                        </w:rPr>
                      </w:pPr>
                      <w:r w:rsidRPr="00326DD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es-ES"/>
                        </w:rPr>
                        <w:t>Profesor Francis R. Chávez Paredes</w:t>
                      </w:r>
                    </w:p>
                  </w:txbxContent>
                </v:textbox>
              </v:shape>
            </w:pict>
          </mc:Fallback>
        </mc:AlternateContent>
      </w:r>
      <w:r w:rsidRPr="00A27927">
        <w:rPr>
          <w:rFonts w:ascii="Arial" w:hAnsi="Arial" w:cs="Arial"/>
          <w:b/>
          <w:noProof/>
          <w:color w:val="000000" w:themeColor="text1"/>
          <w:sz w:val="18"/>
          <w:szCs w:val="18"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680690" wp14:editId="33D0C43D">
                <wp:simplePos x="0" y="0"/>
                <wp:positionH relativeFrom="column">
                  <wp:posOffset>1920240</wp:posOffset>
                </wp:positionH>
                <wp:positionV relativeFrom="paragraph">
                  <wp:posOffset>290195</wp:posOffset>
                </wp:positionV>
                <wp:extent cx="1847850" cy="647700"/>
                <wp:effectExtent l="0" t="0" r="0" b="0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68D27F" w14:textId="77777777" w:rsidR="00696FEA" w:rsidRPr="00326DDF" w:rsidRDefault="00696FEA" w:rsidP="008E5C8D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176047ED" w14:textId="77777777" w:rsidR="00696FEA" w:rsidRPr="00326DDF" w:rsidRDefault="00696FEA" w:rsidP="008E5C8D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326DD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es-ES"/>
                              </w:rPr>
                              <w:t>Subdirección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80690" id="Cuadro de texto 7" o:spid="_x0000_s1027" type="#_x0000_t202" style="position:absolute;left:0;text-align:left;margin-left:151.2pt;margin-top:22.85pt;width:145.5pt;height:5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" fillcolor="white [3201]" stroked="f" strokeweight=".5pt">
                <v:textbox>
                  <w:txbxContent>
                    <w:p w14:paraId="7368D27F" w14:textId="77777777" w:rsidR="00696FEA" w:rsidRPr="00326DDF" w:rsidRDefault="00696FEA" w:rsidP="008E5C8D">
                      <w:pPr>
                        <w:pBdr>
                          <w:bottom w:val="single" w:sz="12" w:space="1" w:color="auto"/>
                        </w:pBdr>
                        <w:rPr>
                          <w:sz w:val="20"/>
                          <w:szCs w:val="20"/>
                          <w:lang w:val="es-MX"/>
                        </w:rPr>
                      </w:pPr>
                    </w:p>
                    <w:p w14:paraId="176047ED" w14:textId="77777777" w:rsidR="00696FEA" w:rsidRPr="00326DDF" w:rsidRDefault="00696FEA" w:rsidP="008E5C8D">
                      <w:pPr>
                        <w:jc w:val="center"/>
                        <w:rPr>
                          <w:sz w:val="20"/>
                          <w:szCs w:val="20"/>
                          <w:lang w:val="es-MX"/>
                        </w:rPr>
                      </w:pPr>
                      <w:r w:rsidRPr="00326DD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es-ES"/>
                        </w:rPr>
                        <w:t>Subdirección</w:t>
                      </w:r>
                    </w:p>
                  </w:txbxContent>
                </v:textbox>
              </v:shape>
            </w:pict>
          </mc:Fallback>
        </mc:AlternateContent>
      </w:r>
      <w:r w:rsidRPr="00A27927">
        <w:rPr>
          <w:rFonts w:ascii="Arial" w:hAnsi="Arial" w:cs="Arial"/>
          <w:b/>
          <w:noProof/>
          <w:color w:val="000000" w:themeColor="text1"/>
          <w:sz w:val="18"/>
          <w:szCs w:val="18"/>
          <w:lang w:val="en-US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0530A6" wp14:editId="41283E00">
                <wp:simplePos x="0" y="0"/>
                <wp:positionH relativeFrom="column">
                  <wp:posOffset>-234315</wp:posOffset>
                </wp:positionH>
                <wp:positionV relativeFrom="paragraph">
                  <wp:posOffset>282575</wp:posOffset>
                </wp:positionV>
                <wp:extent cx="1847850" cy="647700"/>
                <wp:effectExtent l="0" t="0" r="0" b="0"/>
                <wp:wrapNone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ECEF62" w14:textId="77777777" w:rsidR="00696FEA" w:rsidRPr="00326DDF" w:rsidRDefault="00696FEA" w:rsidP="008E5C8D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32A8431E" w14:textId="77777777" w:rsidR="00696FEA" w:rsidRPr="00326DDF" w:rsidRDefault="00696FEA" w:rsidP="008E5C8D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326DD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es-ES"/>
                              </w:rPr>
                              <w:t>Dirección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530A6" id="Cuadro de texto 8" o:spid="_x0000_s1028" type="#_x0000_t202" style="position:absolute;left:0;text-align:left;margin-left:-18.45pt;margin-top:22.25pt;width:145.5pt;height:5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" fillcolor="white [3201]" stroked="f" strokeweight=".5pt">
                <v:textbox>
                  <w:txbxContent>
                    <w:p w14:paraId="0EECEF62" w14:textId="77777777" w:rsidR="00696FEA" w:rsidRPr="00326DDF" w:rsidRDefault="00696FEA" w:rsidP="008E5C8D">
                      <w:pPr>
                        <w:pBdr>
                          <w:bottom w:val="single" w:sz="12" w:space="1" w:color="auto"/>
                        </w:pBdr>
                        <w:rPr>
                          <w:sz w:val="20"/>
                          <w:szCs w:val="20"/>
                          <w:lang w:val="es-MX"/>
                        </w:rPr>
                      </w:pPr>
                    </w:p>
                    <w:p w14:paraId="32A8431E" w14:textId="77777777" w:rsidR="00696FEA" w:rsidRPr="00326DDF" w:rsidRDefault="00696FEA" w:rsidP="008E5C8D">
                      <w:pPr>
                        <w:jc w:val="center"/>
                        <w:rPr>
                          <w:sz w:val="20"/>
                          <w:szCs w:val="20"/>
                          <w:lang w:val="es-MX"/>
                        </w:rPr>
                      </w:pPr>
                      <w:r w:rsidRPr="00326DD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es-ES"/>
                        </w:rPr>
                        <w:t>Dirección</w:t>
                      </w:r>
                    </w:p>
                  </w:txbxContent>
                </v:textbox>
              </v:shape>
            </w:pict>
          </mc:Fallback>
        </mc:AlternateContent>
      </w:r>
    </w:p>
    <w:p w14:paraId="20243077" w14:textId="77777777" w:rsidR="008E5C8D" w:rsidRDefault="008E5C8D" w:rsidP="00C46773">
      <w:pPr>
        <w:spacing w:after="0"/>
        <w:jc w:val="both"/>
        <w:rPr>
          <w:rFonts w:ascii="Arial" w:hAnsi="Arial" w:cs="Arial"/>
          <w:bCs/>
          <w:sz w:val="18"/>
          <w:szCs w:val="18"/>
          <w:lang w:val="es-MX"/>
        </w:rPr>
      </w:pPr>
    </w:p>
    <w:p w14:paraId="27640CCA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444B66C4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1BB24EB0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2281757B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5B84A45B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0AA22B80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0A6B8B52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sectPr w:rsidR="00927D92" w:rsidSect="00707EDF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44E45"/>
    <w:multiLevelType w:val="multilevel"/>
    <w:tmpl w:val="E8885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225A9"/>
    <w:multiLevelType w:val="multilevel"/>
    <w:tmpl w:val="D7D80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030C2"/>
    <w:multiLevelType w:val="multilevel"/>
    <w:tmpl w:val="91586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4A129B"/>
    <w:multiLevelType w:val="multilevel"/>
    <w:tmpl w:val="D53AA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9730BE"/>
    <w:multiLevelType w:val="multilevel"/>
    <w:tmpl w:val="4CE0A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C35ED3"/>
    <w:multiLevelType w:val="multilevel"/>
    <w:tmpl w:val="1388B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35423D"/>
    <w:multiLevelType w:val="multilevel"/>
    <w:tmpl w:val="E0B8B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D34EA2"/>
    <w:multiLevelType w:val="multilevel"/>
    <w:tmpl w:val="DE5E7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712786"/>
    <w:multiLevelType w:val="multilevel"/>
    <w:tmpl w:val="EB2EE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7D5125"/>
    <w:multiLevelType w:val="multilevel"/>
    <w:tmpl w:val="75D03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882C4C"/>
    <w:multiLevelType w:val="multilevel"/>
    <w:tmpl w:val="410E1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532649"/>
    <w:multiLevelType w:val="multilevel"/>
    <w:tmpl w:val="1326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9E06BB"/>
    <w:multiLevelType w:val="multilevel"/>
    <w:tmpl w:val="CDD2A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CD3DCD"/>
    <w:multiLevelType w:val="multilevel"/>
    <w:tmpl w:val="686C5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4970914">
    <w:abstractNumId w:val="5"/>
  </w:num>
  <w:num w:numId="2" w16cid:durableId="179592963">
    <w:abstractNumId w:val="7"/>
  </w:num>
  <w:num w:numId="3" w16cid:durableId="458648781">
    <w:abstractNumId w:val="11"/>
  </w:num>
  <w:num w:numId="4" w16cid:durableId="1240020271">
    <w:abstractNumId w:val="0"/>
  </w:num>
  <w:num w:numId="5" w16cid:durableId="145636040">
    <w:abstractNumId w:val="1"/>
  </w:num>
  <w:num w:numId="6" w16cid:durableId="1144201242">
    <w:abstractNumId w:val="2"/>
  </w:num>
  <w:num w:numId="7" w16cid:durableId="780226469">
    <w:abstractNumId w:val="6"/>
  </w:num>
  <w:num w:numId="8" w16cid:durableId="739716380">
    <w:abstractNumId w:val="10"/>
  </w:num>
  <w:num w:numId="9" w16cid:durableId="936520219">
    <w:abstractNumId w:val="4"/>
  </w:num>
  <w:num w:numId="10" w16cid:durableId="177894963">
    <w:abstractNumId w:val="12"/>
  </w:num>
  <w:num w:numId="11" w16cid:durableId="1568612420">
    <w:abstractNumId w:val="8"/>
  </w:num>
  <w:num w:numId="12" w16cid:durableId="2087069079">
    <w:abstractNumId w:val="13"/>
  </w:num>
  <w:num w:numId="13" w16cid:durableId="1310359156">
    <w:abstractNumId w:val="3"/>
  </w:num>
  <w:num w:numId="14" w16cid:durableId="1807426745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F69"/>
    <w:rsid w:val="00002EF0"/>
    <w:rsid w:val="00012DA2"/>
    <w:rsid w:val="000233EF"/>
    <w:rsid w:val="000370D7"/>
    <w:rsid w:val="00072D18"/>
    <w:rsid w:val="000977B3"/>
    <w:rsid w:val="000D6B22"/>
    <w:rsid w:val="00102394"/>
    <w:rsid w:val="00125118"/>
    <w:rsid w:val="001660A2"/>
    <w:rsid w:val="00173062"/>
    <w:rsid w:val="00184973"/>
    <w:rsid w:val="001E0899"/>
    <w:rsid w:val="001F66CB"/>
    <w:rsid w:val="00203047"/>
    <w:rsid w:val="00211B9D"/>
    <w:rsid w:val="00242CE5"/>
    <w:rsid w:val="00272F69"/>
    <w:rsid w:val="002B2561"/>
    <w:rsid w:val="003428CB"/>
    <w:rsid w:val="003705AC"/>
    <w:rsid w:val="004337FC"/>
    <w:rsid w:val="004C4EF9"/>
    <w:rsid w:val="00507803"/>
    <w:rsid w:val="00530992"/>
    <w:rsid w:val="00553C80"/>
    <w:rsid w:val="00553E09"/>
    <w:rsid w:val="005A3215"/>
    <w:rsid w:val="005F34A5"/>
    <w:rsid w:val="0061667A"/>
    <w:rsid w:val="00682F30"/>
    <w:rsid w:val="00696FEA"/>
    <w:rsid w:val="006A1C97"/>
    <w:rsid w:val="006A3843"/>
    <w:rsid w:val="00707EDF"/>
    <w:rsid w:val="00791D4B"/>
    <w:rsid w:val="007A6E64"/>
    <w:rsid w:val="007D771A"/>
    <w:rsid w:val="007F2507"/>
    <w:rsid w:val="00813B1C"/>
    <w:rsid w:val="0085202D"/>
    <w:rsid w:val="00864144"/>
    <w:rsid w:val="00875DFD"/>
    <w:rsid w:val="008E04DD"/>
    <w:rsid w:val="008E5C8D"/>
    <w:rsid w:val="00900DCA"/>
    <w:rsid w:val="00911E70"/>
    <w:rsid w:val="00927D92"/>
    <w:rsid w:val="00960A09"/>
    <w:rsid w:val="00A2271C"/>
    <w:rsid w:val="00A71388"/>
    <w:rsid w:val="00BB1058"/>
    <w:rsid w:val="00BB1470"/>
    <w:rsid w:val="00BE794D"/>
    <w:rsid w:val="00C46773"/>
    <w:rsid w:val="00C50A59"/>
    <w:rsid w:val="00C92F0C"/>
    <w:rsid w:val="00CF7E8B"/>
    <w:rsid w:val="00DA7549"/>
    <w:rsid w:val="00E27E19"/>
    <w:rsid w:val="00EA0A98"/>
    <w:rsid w:val="00EA7C29"/>
    <w:rsid w:val="00F468F7"/>
    <w:rsid w:val="00FD04E7"/>
    <w:rsid w:val="00FE6266"/>
    <w:rsid w:val="00FF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72F545"/>
  <w15:chartTrackingRefBased/>
  <w15:docId w15:val="{27B1BADF-4AE9-4A75-8F6E-84FCD57AD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7EDF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Bulleted List,Fundamentacion,Lista vistosa - Énfasis 11,Párrafo de lista2,Párrafo de lista1,SubPárrafo de lista,Lista media 2 - Énfasis 41,Cita Pie de Página,titulo,Lista vistosa - Énfasis 111,Formatoo,Tabla,List Paragraph,Contenido"/>
    <w:basedOn w:val="Normal"/>
    <w:link w:val="PrrafodelistaCar"/>
    <w:qFormat/>
    <w:rsid w:val="00707EDF"/>
    <w:pPr>
      <w:spacing w:after="200" w:line="276" w:lineRule="auto"/>
      <w:ind w:left="720"/>
      <w:contextualSpacing/>
    </w:pPr>
    <w:rPr>
      <w:rFonts w:eastAsiaTheme="minorEastAsia"/>
      <w:lang w:val="es-PE" w:eastAsia="es-PE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,SubPárrafo de lista Car,Lista media 2 - Énfasis 41 Car,Cita Pie de Página Car,titulo Car,Lista vistosa - Énfasis 111 Car"/>
    <w:link w:val="Prrafodelista"/>
    <w:qFormat/>
    <w:locked/>
    <w:rsid w:val="00707EDF"/>
    <w:rPr>
      <w:rFonts w:eastAsiaTheme="minorEastAsia"/>
      <w:lang w:val="es-PE" w:eastAsia="es-PE"/>
    </w:rPr>
  </w:style>
  <w:style w:type="character" w:styleId="Hipervnculo">
    <w:name w:val="Hyperlink"/>
    <w:basedOn w:val="Fuentedeprrafopredeter"/>
    <w:uiPriority w:val="99"/>
    <w:unhideWhenUsed/>
    <w:rsid w:val="00E27E1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27E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36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6676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020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7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8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4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14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87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13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35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8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230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695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6109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504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305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4288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107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84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5816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16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9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821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10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0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66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205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2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230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4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462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87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496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638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709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287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9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03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0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28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52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18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508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16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23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811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45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18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135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730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38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380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392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075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9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640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928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877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65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55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75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380457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2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669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661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86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14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756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213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646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911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617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458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543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584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284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841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4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61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267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32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717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13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48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62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78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637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616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465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72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712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909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61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602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396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710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0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2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49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107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551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544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3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070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89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208951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0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98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23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587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08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70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13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806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04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494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41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12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622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25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203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8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5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863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589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00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764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716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95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043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45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235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032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643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32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0092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03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1007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906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6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200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956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318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8894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570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0405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079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27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770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08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783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30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318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333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39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36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751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619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12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826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898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6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17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03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68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90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6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4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45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1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9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3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0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933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43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05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558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7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6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3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7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2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254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19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53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4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71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4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5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3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93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7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47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8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0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85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195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5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1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99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9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308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38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166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5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1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0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92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8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1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1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75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bcrp.gob.pe/reporte-de-inflacion/113-sobre-el-bcrp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bs.gob.pe/usuarios/aprende-con-la-sbs/entidades-autorizadas-a-captar-deposito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2205</Words>
  <Characters>12133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Francis Chávez</cp:lastModifiedBy>
  <cp:revision>4</cp:revision>
  <dcterms:created xsi:type="dcterms:W3CDTF">2026-10-11T03:01:00Z</dcterms:created>
  <dcterms:modified xsi:type="dcterms:W3CDTF">2026-10-11T04:07:00Z</dcterms:modified>
</cp:coreProperties>
</file>