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o1b8kjxoobms" w:id="0"/>
      <w:bookmarkEnd w:id="0"/>
      <w:r w:rsidDel="00000000" w:rsidR="00000000" w:rsidRPr="00000000">
        <w:rPr>
          <w:rtl w:val="0"/>
        </w:rPr>
        <w:t xml:space="preserve">Sesión de Aprendizaje 3: El Sistema Previsional en el Perú</w:t>
      </w:r>
    </w:p>
    <w:p w:rsidR="00000000" w:rsidDel="00000000" w:rsidP="00000000" w:rsidRDefault="00000000" w:rsidRPr="00000000" w14:paraId="00000002">
      <w:pPr>
        <w:pStyle w:val="Heading1"/>
        <w:rPr/>
      </w:pPr>
      <w:bookmarkStart w:colFirst="0" w:colLast="0" w:name="_sxwqyb6l7zyf" w:id="1"/>
      <w:bookmarkEnd w:id="1"/>
      <w:r w:rsidDel="00000000" w:rsidR="00000000" w:rsidRPr="00000000">
        <w:rPr>
          <w:rtl w:val="0"/>
        </w:rPr>
        <w:t xml:space="preserve">I. Datos Informativos</w:t>
      </w:r>
    </w:p>
    <w:p w:rsidR="00000000" w:rsidDel="00000000" w:rsidP="00000000" w:rsidRDefault="00000000" w:rsidRPr="00000000" w14:paraId="00000003">
      <w:pPr>
        <w:numPr>
          <w:ilvl w:val="0"/>
          <w:numId w:val="4"/>
        </w:numPr>
        <w:ind w:left="720" w:hanging="360"/>
      </w:pPr>
      <w:r w:rsidDel="00000000" w:rsidR="00000000" w:rsidRPr="00000000">
        <w:rPr>
          <w:b w:val="1"/>
          <w:bCs w:val="1"/>
          <w:rtl w:val="0"/>
        </w:rPr>
        <w:t xml:space="preserve">Institución Educativa:</w:t>
      </w:r>
      <w:r w:rsidDel="00000000" w:rsidR="00000000" w:rsidRPr="00000000">
        <w:rPr>
          <w:rtl w:val="0"/>
        </w:rPr>
        <w:t xml:space="preserve"> N° 40160 Manuel Benito Linares Arenas (Socabaya, Arequipa)</w:t>
      </w:r>
    </w:p>
    <w:p w:rsidR="00000000" w:rsidDel="00000000" w:rsidP="00000000" w:rsidRDefault="00000000" w:rsidRPr="00000000" w14:paraId="00000004">
      <w:pPr>
        <w:numPr>
          <w:ilvl w:val="0"/>
          <w:numId w:val="4"/>
        </w:numPr>
        <w:ind w:left="720" w:hanging="360"/>
      </w:pPr>
      <w:r w:rsidDel="00000000" w:rsidR="00000000" w:rsidRPr="00000000">
        <w:rPr>
          <w:b w:val="1"/>
          <w:bCs w:val="1"/>
          <w:rtl w:val="0"/>
        </w:rPr>
        <w:t xml:space="preserve">Docente Responsable:</w:t>
      </w:r>
      <w:r w:rsidDel="00000000" w:rsidR="00000000" w:rsidRPr="00000000">
        <w:rPr>
          <w:rtl w:val="0"/>
        </w:rPr>
        <w:t xml:space="preserve"> Prof. Esther Katherine Chalco Pinares</w:t>
      </w:r>
    </w:p>
    <w:p w:rsidR="00000000" w:rsidDel="00000000" w:rsidP="00000000" w:rsidRDefault="00000000" w:rsidRPr="00000000" w14:paraId="00000005">
      <w:pPr>
        <w:numPr>
          <w:ilvl w:val="0"/>
          <w:numId w:val="4"/>
        </w:numPr>
        <w:ind w:left="720" w:hanging="360"/>
      </w:pPr>
      <w:r w:rsidDel="00000000" w:rsidR="00000000" w:rsidRPr="00000000">
        <w:rPr>
          <w:b w:val="1"/>
          <w:bCs w:val="1"/>
          <w:rtl w:val="0"/>
        </w:rPr>
        <w:t xml:space="preserve">Área:</w:t>
      </w:r>
      <w:r w:rsidDel="00000000" w:rsidR="00000000" w:rsidRPr="00000000">
        <w:rPr>
          <w:rtl w:val="0"/>
        </w:rPr>
        <w:t xml:space="preserve"> Desarrollo Personal, Ciudadanía y Cívica (DPCC)</w:t>
      </w:r>
    </w:p>
    <w:p w:rsidR="00000000" w:rsidDel="00000000" w:rsidP="00000000" w:rsidRDefault="00000000" w:rsidRPr="00000000" w14:paraId="00000006">
      <w:pPr>
        <w:numPr>
          <w:ilvl w:val="0"/>
          <w:numId w:val="4"/>
        </w:numPr>
        <w:ind w:left="720" w:hanging="360"/>
      </w:pPr>
      <w:r w:rsidDel="00000000" w:rsidR="00000000" w:rsidRPr="00000000">
        <w:rPr>
          <w:b w:val="1"/>
          <w:bCs w:val="1"/>
          <w:rtl w:val="0"/>
        </w:rPr>
        <w:t xml:space="preserve">Grado y Sección:</w:t>
      </w:r>
      <w:r w:rsidDel="00000000" w:rsidR="00000000" w:rsidRPr="00000000">
        <w:rPr>
          <w:rtl w:val="0"/>
        </w:rPr>
        <w:t xml:space="preserve"> 3.° de Secundaria (Secciones A, B)</w:t>
      </w:r>
    </w:p>
    <w:p w:rsidR="00000000" w:rsidDel="00000000" w:rsidP="00000000" w:rsidRDefault="00000000" w:rsidRPr="00000000" w14:paraId="00000007">
      <w:pPr>
        <w:numPr>
          <w:ilvl w:val="0"/>
          <w:numId w:val="4"/>
        </w:numPr>
        <w:ind w:left="720" w:hanging="360"/>
      </w:pPr>
      <w:r w:rsidDel="00000000" w:rsidR="00000000" w:rsidRPr="00000000">
        <w:rPr>
          <w:b w:val="1"/>
          <w:bCs w:val="1"/>
          <w:rtl w:val="0"/>
        </w:rPr>
        <w:t xml:space="preserve">Unidad Didáctica:</w:t>
      </w:r>
      <w:r w:rsidDel="00000000" w:rsidR="00000000" w:rsidRPr="00000000">
        <w:rPr>
          <w:rtl w:val="0"/>
        </w:rPr>
        <w:t xml:space="preserve"> I Unidad - Bimestre I (2026) - "Construyendo nuestro bienestar económico integral y ciudadanía responsable desde la escuela"</w:t>
      </w:r>
    </w:p>
    <w:p w:rsidR="00000000" w:rsidDel="00000000" w:rsidP="00000000" w:rsidRDefault="00000000" w:rsidRPr="00000000" w14:paraId="00000008">
      <w:pPr>
        <w:numPr>
          <w:ilvl w:val="0"/>
          <w:numId w:val="4"/>
        </w:numPr>
        <w:ind w:left="720" w:hanging="360"/>
      </w:pPr>
      <w:r w:rsidDel="00000000" w:rsidR="00000000" w:rsidRPr="00000000">
        <w:rPr>
          <w:b w:val="1"/>
          <w:bCs w:val="1"/>
          <w:rtl w:val="0"/>
        </w:rPr>
        <w:t xml:space="preserve">Título de la Sesión:</w:t>
      </w:r>
      <w:r w:rsidDel="00000000" w:rsidR="00000000" w:rsidRPr="00000000">
        <w:rPr>
          <w:rtl w:val="0"/>
        </w:rPr>
        <w:t xml:space="preserve"> El Sistema Previsional en el Perú: Comprendiendo el SNP (ONP) y el SPP (AFP)</w:t>
      </w:r>
    </w:p>
    <w:p w:rsidR="00000000" w:rsidDel="00000000" w:rsidP="00000000" w:rsidRDefault="00000000" w:rsidRPr="00000000" w14:paraId="00000009">
      <w:pPr>
        <w:numPr>
          <w:ilvl w:val="0"/>
          <w:numId w:val="4"/>
        </w:numPr>
        <w:ind w:left="720" w:hanging="360"/>
      </w:pPr>
      <w:r w:rsidDel="00000000" w:rsidR="00000000" w:rsidRPr="00000000">
        <w:rPr>
          <w:b w:val="1"/>
          <w:bCs w:val="1"/>
          <w:rtl w:val="0"/>
        </w:rPr>
        <w:t xml:space="preserve">Duración:</w:t>
      </w:r>
      <w:r w:rsidDel="00000000" w:rsidR="00000000" w:rsidRPr="00000000">
        <w:rPr>
          <w:rtl w:val="0"/>
        </w:rPr>
        <w:t xml:space="preserve"> 90 minutos (2 horas pedagógicas)</w:t>
      </w:r>
    </w:p>
    <w:p w:rsidR="00000000" w:rsidDel="00000000" w:rsidP="00000000" w:rsidRDefault="00000000" w:rsidRPr="00000000" w14:paraId="0000000A">
      <w:pPr>
        <w:pStyle w:val="Heading1"/>
        <w:rPr/>
      </w:pPr>
      <w:bookmarkStart w:colFirst="0" w:colLast="0" w:name="_ydg959ozoxyx" w:id="2"/>
      <w:bookmarkEnd w:id="2"/>
      <w:r w:rsidDel="00000000" w:rsidR="00000000" w:rsidRPr="00000000">
        <w:rPr>
          <w:rtl w:val="0"/>
        </w:rPr>
        <w:t xml:space="preserve">II. Propósitos de Aprendizaje y Evaluación</w:t>
      </w:r>
    </w:p>
    <w:tbl>
      <w:tblPr>
        <w:tblStyle w:val="Table1"/>
        <w:tblW w:w="10500.0" w:type="dxa"/>
        <w:jc w:val="left"/>
        <w:tblBorders>
          <w:top w:color="e0e0e0" w:space="0" w:sz="8" w:val="single"/>
          <w:left w:color="000000" w:space="0" w:sz="0" w:val="nil"/>
          <w:bottom w:color="e0e0e0" w:space="0" w:sz="8" w:val="single"/>
          <w:right w:color="000000" w:space="0" w:sz="0" w:val="nil"/>
          <w:insideH w:color="e0e0e0" w:space="0" w:sz="8" w:val="single"/>
          <w:insideV w:color="e0e0e0" w:space="0" w:sz="8" w:val="single"/>
        </w:tblBorders>
        <w:tblLayout w:type="fixed"/>
        <w:tblLook w:val="0620"/>
      </w:tblPr>
      <w:tblGrid>
        <w:gridCol w:w="3500"/>
        <w:gridCol w:w="3500"/>
        <w:gridCol w:w="3500"/>
        <w:tblGridChange w:id="0">
          <w:tblGrid>
            <w:gridCol w:w="3500"/>
            <w:gridCol w:w="3500"/>
            <w:gridCol w:w="3500"/>
          </w:tblGrid>
        </w:tblGridChange>
      </w:tblGrid>
      <w:tr>
        <w:trPr>
          <w:cantSplit w:val="0"/>
          <w:tblHeader w:val="1"/>
        </w:trPr>
        <w:tc>
          <w:tcPr/>
          <w:p w:rsidR="00000000" w:rsidDel="00000000" w:rsidP="00000000" w:rsidRDefault="00000000" w:rsidRPr="00000000" w14:paraId="0000000B">
            <w:pPr>
              <w:rPr/>
            </w:pPr>
            <w:r w:rsidDel="00000000" w:rsidR="00000000" w:rsidRPr="00000000">
              <w:rPr>
                <w:rtl w:val="0"/>
              </w:rPr>
              <w:t xml:space="preserve">Competencia</w:t>
            </w:r>
          </w:p>
        </w:tc>
        <w:tc>
          <w:tcPr/>
          <w:p w:rsidR="00000000" w:rsidDel="00000000" w:rsidP="00000000" w:rsidRDefault="00000000" w:rsidRPr="00000000" w14:paraId="0000000C">
            <w:pPr>
              <w:rPr/>
            </w:pPr>
            <w:r w:rsidDel="00000000" w:rsidR="00000000" w:rsidRPr="00000000">
              <w:rPr>
                <w:rtl w:val="0"/>
              </w:rPr>
              <w:t xml:space="preserve">Capacidades</w:t>
            </w:r>
          </w:p>
        </w:tc>
        <w:tc>
          <w:tcPr/>
          <w:p w:rsidR="00000000" w:rsidDel="00000000" w:rsidP="00000000" w:rsidRDefault="00000000" w:rsidRPr="00000000" w14:paraId="0000000D">
            <w:pPr>
              <w:rPr/>
            </w:pPr>
            <w:r w:rsidDel="00000000" w:rsidR="00000000" w:rsidRPr="00000000">
              <w:rPr>
                <w:rtl w:val="0"/>
              </w:rPr>
              <w:t xml:space="preserve">Desempeño Precisado</w:t>
            </w:r>
          </w:p>
        </w:tc>
      </w:tr>
      <w:tr>
        <w:trPr>
          <w:cantSplit w:val="0"/>
          <w:tblHeader w:val="0"/>
        </w:trPr>
        <w:tc>
          <w:tcPr/>
          <w:p w:rsidR="00000000" w:rsidDel="00000000" w:rsidP="00000000" w:rsidRDefault="00000000" w:rsidRPr="00000000" w14:paraId="0000000E">
            <w:pPr>
              <w:rPr/>
            </w:pPr>
            <w:r w:rsidDel="00000000" w:rsidR="00000000" w:rsidRPr="00000000">
              <w:rPr>
                <w:b w:val="1"/>
                <w:bCs w:val="1"/>
                <w:rtl w:val="0"/>
              </w:rPr>
              <w:t xml:space="preserve">Gestiona responsablemente los recursos económicos</w:t>
            </w:r>
            <w:r w:rsidDel="00000000" w:rsidR="00000000" w:rsidRPr="00000000">
              <w:rPr>
                <w:rtl w:val="0"/>
              </w:rPr>
              <w:t xml:space="preserve"> / </w:t>
            </w:r>
            <w:r w:rsidDel="00000000" w:rsidR="00000000" w:rsidRPr="00000000">
              <w:rPr>
                <w:b w:val="1"/>
                <w:bCs w:val="1"/>
                <w:rtl w:val="0"/>
              </w:rPr>
              <w:t xml:space="preserve">Convive y participa democráticamente en la búsqueda del bien común.</w:t>
            </w:r>
            <w:r w:rsidDel="00000000" w:rsidR="00000000" w:rsidRPr="00000000">
              <w:rPr>
                <w:rtl w:val="0"/>
              </w:rPr>
            </w:r>
          </w:p>
        </w:tc>
        <w:tc>
          <w:tcPr/>
          <w:p w:rsidR="00000000" w:rsidDel="00000000" w:rsidP="00000000" w:rsidRDefault="00000000" w:rsidRPr="00000000" w14:paraId="0000000F">
            <w:pPr>
              <w:rPr/>
            </w:pPr>
            <w:r w:rsidDel="00000000" w:rsidR="00000000" w:rsidRPr="00000000">
              <w:rPr>
                <w:rtl w:val="0"/>
              </w:rPr>
              <w:t xml:space="preserve">Comprende las relaciones entre los elementos del sistema económico y financiero / Delibera sobre asuntos públicos.</w:t>
            </w:r>
          </w:p>
        </w:tc>
        <w:tc>
          <w:tcPr/>
          <w:p w:rsidR="00000000" w:rsidDel="00000000" w:rsidP="00000000" w:rsidRDefault="00000000" w:rsidRPr="00000000" w14:paraId="00000010">
            <w:pPr>
              <w:rPr/>
            </w:pPr>
            <w:r w:rsidDel="00000000" w:rsidR="00000000" w:rsidRPr="00000000">
              <w:rPr>
                <w:rtl w:val="0"/>
              </w:rPr>
              <w:t xml:space="preserve">Explica el funcionamiento del sistema económico y previsional (SNP y SPP), reconociendo el rol del Estado, las instituciones financieras y la problemática de la informalidad laboral.</w:t>
            </w:r>
          </w:p>
        </w:tc>
      </w:tr>
    </w:tbl>
    <w:p w:rsidR="00000000" w:rsidDel="00000000" w:rsidP="00000000" w:rsidRDefault="00000000" w:rsidRPr="00000000" w14:paraId="00000011">
      <w:pPr>
        <w:pStyle w:val="Heading2"/>
        <w:rPr/>
      </w:pPr>
      <w:bookmarkStart w:colFirst="0" w:colLast="0" w:name="_rfco3ph36qd1" w:id="3"/>
      <w:bookmarkEnd w:id="3"/>
      <w:r w:rsidDel="00000000" w:rsidR="00000000" w:rsidRPr="00000000">
        <w:rPr>
          <w:rtl w:val="0"/>
        </w:rPr>
        <w:t xml:space="preserve">Evaluación de Aprendizajes</w:t>
      </w:r>
    </w:p>
    <w:p w:rsidR="00000000" w:rsidDel="00000000" w:rsidP="00000000" w:rsidRDefault="00000000" w:rsidRPr="00000000" w14:paraId="00000012">
      <w:pPr>
        <w:numPr>
          <w:ilvl w:val="0"/>
          <w:numId w:val="4"/>
        </w:numPr>
        <w:ind w:left="720" w:hanging="360"/>
      </w:pPr>
      <w:r w:rsidDel="00000000" w:rsidR="00000000" w:rsidRPr="00000000">
        <w:rPr>
          <w:b w:val="1"/>
          <w:bCs w:val="1"/>
          <w:rtl w:val="0"/>
        </w:rPr>
        <w:t xml:space="preserve">Criterios de Evaluación:</w:t>
      </w:r>
      <w:r w:rsidDel="00000000" w:rsidR="00000000" w:rsidRPr="00000000">
        <w:rPr>
          <w:rtl w:val="0"/>
        </w:rPr>
      </w:r>
    </w:p>
    <w:p w:rsidR="00000000" w:rsidDel="00000000" w:rsidP="00000000" w:rsidRDefault="00000000" w:rsidRPr="00000000" w14:paraId="00000013">
      <w:pPr>
        <w:numPr>
          <w:ilvl w:val="1"/>
          <w:numId w:val="4"/>
        </w:numPr>
        <w:ind w:left="1440" w:hanging="360"/>
      </w:pPr>
      <w:r w:rsidDel="00000000" w:rsidR="00000000" w:rsidRPr="00000000">
        <w:rPr>
          <w:rtl w:val="0"/>
        </w:rPr>
        <w:t xml:space="preserve">Compara mediante cuadros sintéticos las ventajas, riesgos y características del SNP (ONP) y SPP (AFP).</w:t>
      </w:r>
    </w:p>
    <w:p w:rsidR="00000000" w:rsidDel="00000000" w:rsidP="00000000" w:rsidRDefault="00000000" w:rsidRPr="00000000" w14:paraId="00000014">
      <w:pPr>
        <w:numPr>
          <w:ilvl w:val="1"/>
          <w:numId w:val="4"/>
        </w:numPr>
        <w:ind w:left="1440" w:hanging="360"/>
      </w:pPr>
      <w:r w:rsidDel="00000000" w:rsidR="00000000" w:rsidRPr="00000000">
        <w:rPr>
          <w:rtl w:val="0"/>
        </w:rPr>
        <w:t xml:space="preserve">Evalúa situaciones de vulnerabilidad e informalidad económica como un asunto público en el distrito de Socabaya.</w:t>
      </w:r>
    </w:p>
    <w:p w:rsidR="00000000" w:rsidDel="00000000" w:rsidP="00000000" w:rsidRDefault="00000000" w:rsidRPr="00000000" w14:paraId="00000015">
      <w:pPr>
        <w:numPr>
          <w:ilvl w:val="1"/>
          <w:numId w:val="4"/>
        </w:numPr>
        <w:ind w:left="1440" w:hanging="360"/>
      </w:pPr>
      <w:r w:rsidDel="00000000" w:rsidR="00000000" w:rsidRPr="00000000">
        <w:rPr>
          <w:rtl w:val="0"/>
        </w:rPr>
        <w:t xml:space="preserve">Sustenta una postura informada sobre la importancia de la seguridad social para el futuro personal y colectivo.</w:t>
      </w:r>
    </w:p>
    <w:p w:rsidR="00000000" w:rsidDel="00000000" w:rsidP="00000000" w:rsidRDefault="00000000" w:rsidRPr="00000000" w14:paraId="00000016">
      <w:pPr>
        <w:numPr>
          <w:ilvl w:val="0"/>
          <w:numId w:val="4"/>
        </w:numPr>
        <w:ind w:left="720" w:hanging="360"/>
      </w:pPr>
      <w:r w:rsidDel="00000000" w:rsidR="00000000" w:rsidRPr="00000000">
        <w:rPr>
          <w:b w:val="1"/>
          <w:bCs w:val="1"/>
          <w:rtl w:val="0"/>
        </w:rPr>
        <w:t xml:space="preserve">Evidencia de Aprendizaje:</w:t>
      </w:r>
      <w:r w:rsidDel="00000000" w:rsidR="00000000" w:rsidRPr="00000000">
        <w:rPr>
          <w:rtl w:val="0"/>
        </w:rPr>
        <w:t xml:space="preserve"> Matriz comparativa de doble entrada entre el SNP y el SPP integrada en el cuaderno de trabajo.</w:t>
      </w:r>
    </w:p>
    <w:p w:rsidR="00000000" w:rsidDel="00000000" w:rsidP="00000000" w:rsidRDefault="00000000" w:rsidRPr="00000000" w14:paraId="00000017">
      <w:pPr>
        <w:numPr>
          <w:ilvl w:val="0"/>
          <w:numId w:val="4"/>
        </w:numPr>
        <w:ind w:left="720" w:hanging="360"/>
      </w:pPr>
      <w:r w:rsidDel="00000000" w:rsidR="00000000" w:rsidRPr="00000000">
        <w:rPr>
          <w:b w:val="1"/>
          <w:bCs w:val="1"/>
          <w:rtl w:val="0"/>
        </w:rPr>
        <w:t xml:space="preserve">Instrumento:</w:t>
      </w:r>
      <w:r w:rsidDel="00000000" w:rsidR="00000000" w:rsidRPr="00000000">
        <w:rPr>
          <w:rtl w:val="0"/>
        </w:rPr>
        <w:t xml:space="preserve"> Rúbrica de evaluación sintética / Lista de cotejo.</w:t>
      </w:r>
    </w:p>
    <w:p w:rsidR="00000000" w:rsidDel="00000000" w:rsidP="00000000" w:rsidRDefault="00000000" w:rsidRPr="00000000" w14:paraId="00000018">
      <w:pPr>
        <w:pStyle w:val="Heading2"/>
        <w:rPr/>
      </w:pPr>
      <w:bookmarkStart w:colFirst="0" w:colLast="0" w:name="_mj88afpgylmj" w:id="4"/>
      <w:bookmarkEnd w:id="4"/>
      <w:r w:rsidDel="00000000" w:rsidR="00000000" w:rsidRPr="00000000">
        <w:rPr>
          <w:rtl w:val="0"/>
        </w:rPr>
        <w:t xml:space="preserve">Enfoques Transversales</w:t>
      </w:r>
    </w:p>
    <w:p w:rsidR="00000000" w:rsidDel="00000000" w:rsidP="00000000" w:rsidRDefault="00000000" w:rsidRPr="00000000" w14:paraId="00000019">
      <w:pPr>
        <w:numPr>
          <w:ilvl w:val="0"/>
          <w:numId w:val="4"/>
        </w:numPr>
        <w:ind w:left="720" w:hanging="360"/>
      </w:pPr>
      <w:r w:rsidDel="00000000" w:rsidR="00000000" w:rsidRPr="00000000">
        <w:rPr>
          <w:b w:val="1"/>
          <w:bCs w:val="1"/>
          <w:rtl w:val="0"/>
        </w:rPr>
        <w:t xml:space="preserve">Enfoque de Búsqueda de la Excelencia:</w:t>
      </w:r>
      <w:r w:rsidDel="00000000" w:rsidR="00000000" w:rsidRPr="00000000">
        <w:rPr>
          <w:rtl w:val="0"/>
        </w:rPr>
        <w:t xml:space="preserve"> Disposición para adaptarse a los cambios, modificando si fuera necesario la propia conducta para alcanzar objetivos comunes.</w:t>
      </w:r>
    </w:p>
    <w:p w:rsidR="00000000" w:rsidDel="00000000" w:rsidP="00000000" w:rsidRDefault="00000000" w:rsidRPr="00000000" w14:paraId="0000001A">
      <w:pPr>
        <w:numPr>
          <w:ilvl w:val="0"/>
          <w:numId w:val="4"/>
        </w:numPr>
        <w:ind w:left="720" w:hanging="360"/>
      </w:pPr>
      <w:r w:rsidDel="00000000" w:rsidR="00000000" w:rsidRPr="00000000">
        <w:rPr>
          <w:b w:val="1"/>
          <w:bCs w:val="1"/>
          <w:rtl w:val="0"/>
        </w:rPr>
        <w:t xml:space="preserve">Enfoque de Derechos y Orientación al Bien Común:</w:t>
      </w:r>
      <w:r w:rsidDel="00000000" w:rsidR="00000000" w:rsidRPr="00000000">
        <w:rPr>
          <w:rtl w:val="0"/>
        </w:rPr>
        <w:t xml:space="preserve"> Reconocimiento del valor de la seguridad social como un derecho humano que garantiza la dignidad en la etapa de retiro.</w:t>
      </w:r>
    </w:p>
    <w:p w:rsidR="00000000" w:rsidDel="00000000" w:rsidP="00000000" w:rsidRDefault="00000000" w:rsidRPr="00000000" w14:paraId="0000001B">
      <w:pPr>
        <w:pStyle w:val="Heading1"/>
        <w:rPr/>
      </w:pPr>
      <w:bookmarkStart w:colFirst="0" w:colLast="0" w:name="_hh4bayj4de27" w:id="5"/>
      <w:bookmarkEnd w:id="5"/>
      <w:r w:rsidDel="00000000" w:rsidR="00000000" w:rsidRPr="00000000">
        <w:rPr>
          <w:rtl w:val="0"/>
        </w:rPr>
        <w:t xml:space="preserve">III. Secuencia Pedagógica</w:t>
      </w:r>
    </w:p>
    <w:p w:rsidR="00000000" w:rsidDel="00000000" w:rsidP="00000000" w:rsidRDefault="00000000" w:rsidRPr="00000000" w14:paraId="0000001C">
      <w:pPr>
        <w:pStyle w:val="Heading2"/>
        <w:rPr/>
      </w:pPr>
      <w:bookmarkStart w:colFirst="0" w:colLast="0" w:name="_p6xf1j3r8svj" w:id="6"/>
      <w:bookmarkEnd w:id="6"/>
      <w:r w:rsidDel="00000000" w:rsidR="00000000" w:rsidRPr="00000000">
        <w:rPr>
          <w:rtl w:val="0"/>
        </w:rPr>
        <w:t xml:space="preserve">Inicio (15 minutos)</w:t>
      </w:r>
    </w:p>
    <w:p w:rsidR="00000000" w:rsidDel="00000000" w:rsidP="00000000" w:rsidRDefault="00000000" w:rsidRPr="00000000" w14:paraId="0000001D">
      <w:pPr>
        <w:rPr/>
      </w:pPr>
      <w:r w:rsidDel="00000000" w:rsidR="00000000" w:rsidRPr="00000000">
        <w:rPr>
          <w:b w:val="1"/>
          <w:bCs w:val="1"/>
          <w:rtl w:val="0"/>
        </w:rPr>
        <w:t xml:space="preserve">Recuperación de saberes previos e interés:</w:t>
      </w:r>
      <w:r w:rsidDel="00000000" w:rsidR="00000000" w:rsidRPr="00000000">
        <w:rPr>
          <w:rtl w:val="0"/>
        </w:rPr>
        <w:br w:type="textWrapping"/>
        <w:t xml:space="preserve">La docente presenta a los estudiantes la proyección (o copia física) de una boleta de pago simulada de un trabajador formal en Arequipa. Se señala específicamente la columna de "Descuentos de Ley", resaltando cifras como el 13% para ONP o el 10% más comisión para AFP.</w:t>
        <w:br w:type="textWrapping"/>
        <w:t xml:space="preserve">Se lanza la pregunta detonante: ¿A dónde se va exactamente ese dinero que le quitan al trabajador? ¿Es simplemente un impuesto que se pierde o es una inversión personal? ¿Qué pasará con ese dinero en 40 años?</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F">
      <w:pPr>
        <w:rPr/>
      </w:pPr>
      <w:r w:rsidDel="00000000" w:rsidR="00000000" w:rsidRPr="00000000">
        <w:rPr>
          <w:b w:val="1"/>
          <w:bCs w:val="1"/>
          <w:rtl w:val="0"/>
        </w:rPr>
        <w:t xml:space="preserve">Problematización:</w:t>
      </w:r>
      <w:r w:rsidDel="00000000" w:rsidR="00000000" w:rsidRPr="00000000">
        <w:rPr>
          <w:rtl w:val="0"/>
        </w:rPr>
        <w:br w:type="textWrapping"/>
        <w:t xml:space="preserve">Se plantea el conflicto cognitivo mediante dos interrogantes:</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1">
      <w:pPr>
        <w:numPr>
          <w:ilvl w:val="0"/>
          <w:numId w:val="2"/>
        </w:numPr>
        <w:ind w:left="720" w:hanging="360"/>
      </w:pPr>
      <w:r w:rsidDel="00000000" w:rsidR="00000000" w:rsidRPr="00000000">
        <w:rPr>
          <w:rtl w:val="0"/>
        </w:rPr>
        <w:t xml:space="preserve">¿Es mejor aportar a un "fondo común" donde todos nos ayudamos (solidaridad) o a una "cuenta propia" donde solo yo ahorro (individualismo)?</w:t>
      </w:r>
    </w:p>
    <w:p w:rsidR="00000000" w:rsidDel="00000000" w:rsidP="00000000" w:rsidRDefault="00000000" w:rsidRPr="00000000" w14:paraId="00000022">
      <w:pPr>
        <w:numPr>
          <w:ilvl w:val="0"/>
          <w:numId w:val="2"/>
        </w:numPr>
        <w:ind w:left="720" w:hanging="360"/>
      </w:pPr>
      <w:r w:rsidDel="00000000" w:rsidR="00000000" w:rsidRPr="00000000">
        <w:rPr>
          <w:rtl w:val="0"/>
        </w:rPr>
        <w:t xml:space="preserve">En el contexto actual del Perú, ¿cuál de los dos sistemas garantiza realmente un bienestar futuro frente a las crisis económicas?</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4">
      <w:pPr>
        <w:rPr/>
      </w:pPr>
      <w:r w:rsidDel="00000000" w:rsidR="00000000" w:rsidRPr="00000000">
        <w:rPr>
          <w:b w:val="1"/>
          <w:bCs w:val="1"/>
          <w:rtl w:val="0"/>
        </w:rPr>
        <w:t xml:space="preserve">Propósito de la sesión:</w:t>
      </w:r>
      <w:r w:rsidDel="00000000" w:rsidR="00000000" w:rsidRPr="00000000">
        <w:rPr>
          <w:rtl w:val="0"/>
        </w:rPr>
        <w:br w:type="textWrapping"/>
        <w:t xml:space="preserve">"Hoy analizaremos comparativamente el Sistema Nacional de Pensiones (SNP) y el Sistema Privado de Pensiones (SPP) para identificar sus características y tomar decisiones informadas sobre nuestra futura vida laboral."</w:t>
      </w:r>
    </w:p>
    <w:p w:rsidR="00000000" w:rsidDel="00000000" w:rsidP="00000000" w:rsidRDefault="00000000" w:rsidRPr="00000000" w14:paraId="00000025">
      <w:pPr>
        <w:pStyle w:val="Heading2"/>
        <w:rPr/>
      </w:pPr>
      <w:bookmarkStart w:colFirst="0" w:colLast="0" w:name="_c2c08o92w9vm" w:id="7"/>
      <w:bookmarkEnd w:id="7"/>
      <w:r w:rsidDel="00000000" w:rsidR="00000000" w:rsidRPr="00000000">
        <w:rPr>
          <w:rtl w:val="0"/>
        </w:rPr>
        <w:t xml:space="preserve">Desarrollo (60 minutos)</w:t>
      </w:r>
    </w:p>
    <w:p w:rsidR="00000000" w:rsidDel="00000000" w:rsidP="00000000" w:rsidRDefault="00000000" w:rsidRPr="00000000" w14:paraId="00000026">
      <w:pPr>
        <w:rPr/>
      </w:pPr>
      <w:r w:rsidDel="00000000" w:rsidR="00000000" w:rsidRPr="00000000">
        <w:rPr>
          <w:b w:val="1"/>
          <w:bCs w:val="1"/>
          <w:rtl w:val="0"/>
        </w:rPr>
        <w:t xml:space="preserve">Investigación Guiada y Análisis:</w:t>
      </w:r>
      <w:r w:rsidDel="00000000" w:rsidR="00000000" w:rsidRPr="00000000">
        <w:rPr>
          <w:rtl w:val="0"/>
        </w:rPr>
        <w:br w:type="textWrapping"/>
        <w:t xml:space="preserve">La docente entrega la Ficha Informativa "Sistemas de Pensiones en el Perú". Se realiza una lectura dirigida explicando conceptos clave:</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8">
      <w:pPr>
        <w:numPr>
          <w:ilvl w:val="0"/>
          <w:numId w:val="1"/>
        </w:numPr>
        <w:ind w:left="720" w:hanging="360"/>
      </w:pPr>
      <w:r w:rsidDel="00000000" w:rsidR="00000000" w:rsidRPr="00000000">
        <w:rPr>
          <w:b w:val="1"/>
          <w:bCs w:val="1"/>
          <w:rtl w:val="0"/>
        </w:rPr>
        <w:t xml:space="preserve">SNP (Sistema Nacional de Pensiones):</w:t>
      </w:r>
      <w:r w:rsidDel="00000000" w:rsidR="00000000" w:rsidRPr="00000000">
        <w:rPr>
          <w:rtl w:val="0"/>
        </w:rPr>
        <w:t xml:space="preserve"> Administrado por la ONP, basado en un modelo de reparto solidario.</w:t>
      </w:r>
    </w:p>
    <w:p w:rsidR="00000000" w:rsidDel="00000000" w:rsidP="00000000" w:rsidRDefault="00000000" w:rsidRPr="00000000" w14:paraId="00000029">
      <w:pPr>
        <w:numPr>
          <w:ilvl w:val="0"/>
          <w:numId w:val="1"/>
        </w:numPr>
        <w:ind w:left="720" w:hanging="360"/>
      </w:pPr>
      <w:r w:rsidDel="00000000" w:rsidR="00000000" w:rsidRPr="00000000">
        <w:rPr>
          <w:b w:val="1"/>
          <w:bCs w:val="1"/>
          <w:rtl w:val="0"/>
        </w:rPr>
        <w:t xml:space="preserve">SPP (Sistema Privado de Pensiones):</w:t>
      </w:r>
      <w:r w:rsidDel="00000000" w:rsidR="00000000" w:rsidRPr="00000000">
        <w:rPr>
          <w:rtl w:val="0"/>
        </w:rPr>
        <w:t xml:space="preserve"> Administrado por las AFP, basado en la Capitalización Individual (CUSPP).</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B">
      <w:pPr>
        <w:rPr/>
      </w:pPr>
      <w:r w:rsidDel="00000000" w:rsidR="00000000" w:rsidRPr="00000000">
        <w:rPr>
          <w:b w:val="1"/>
          <w:bCs w:val="1"/>
          <w:rtl w:val="0"/>
        </w:rPr>
        <w:t xml:space="preserve">Elaboración de Evidencia:</w:t>
      </w:r>
      <w:r w:rsidDel="00000000" w:rsidR="00000000" w:rsidRPr="00000000">
        <w:rPr>
          <w:rtl w:val="0"/>
        </w:rPr>
        <w:br w:type="textWrapping"/>
        <w:t xml:space="preserve">Los estudiantes, de forma individual, proceden a diseñar y completar en sus cuadernos una </w:t>
      </w:r>
      <w:r w:rsidDel="00000000" w:rsidR="00000000" w:rsidRPr="00000000">
        <w:rPr>
          <w:b w:val="1"/>
          <w:bCs w:val="1"/>
          <w:rtl w:val="0"/>
        </w:rPr>
        <w:t xml:space="preserve">Matriz Comparativa de Doble Entrada</w:t>
      </w:r>
      <w:r w:rsidDel="00000000" w:rsidR="00000000" w:rsidRPr="00000000">
        <w:rPr>
          <w:rtl w:val="0"/>
        </w:rPr>
        <w:t xml:space="preserve">. La docente supervisa el proceso asegurando que se contrasten los siguientes ejes:</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2D">
      <w:pPr>
        <w:numPr>
          <w:ilvl w:val="0"/>
          <w:numId w:val="8"/>
        </w:numPr>
        <w:ind w:left="720" w:hanging="360"/>
      </w:pPr>
      <w:r w:rsidDel="00000000" w:rsidR="00000000" w:rsidRPr="00000000">
        <w:rPr>
          <w:rtl w:val="0"/>
        </w:rPr>
        <w:t xml:space="preserve">Entidad administradora y reguladora.</w:t>
      </w:r>
    </w:p>
    <w:p w:rsidR="00000000" w:rsidDel="00000000" w:rsidP="00000000" w:rsidRDefault="00000000" w:rsidRPr="00000000" w14:paraId="0000002E">
      <w:pPr>
        <w:numPr>
          <w:ilvl w:val="0"/>
          <w:numId w:val="8"/>
        </w:numPr>
        <w:ind w:left="720" w:hanging="360"/>
      </w:pPr>
      <w:r w:rsidDel="00000000" w:rsidR="00000000" w:rsidRPr="00000000">
        <w:rPr>
          <w:rtl w:val="0"/>
        </w:rPr>
        <w:t xml:space="preserve">Tipo de cuenta (Fondo común vs. Cuenta personal).</w:t>
      </w:r>
    </w:p>
    <w:p w:rsidR="00000000" w:rsidDel="00000000" w:rsidP="00000000" w:rsidRDefault="00000000" w:rsidRPr="00000000" w14:paraId="0000002F">
      <w:pPr>
        <w:numPr>
          <w:ilvl w:val="0"/>
          <w:numId w:val="8"/>
        </w:numPr>
        <w:ind w:left="720" w:hanging="360"/>
      </w:pPr>
      <w:r w:rsidDel="00000000" w:rsidR="00000000" w:rsidRPr="00000000">
        <w:rPr>
          <w:rtl w:val="0"/>
        </w:rPr>
        <w:t xml:space="preserve">Requisitos mínimos para acceder a una pensión (Años de aporte vs. Capital acumulado).</w:t>
      </w:r>
    </w:p>
    <w:p w:rsidR="00000000" w:rsidDel="00000000" w:rsidP="00000000" w:rsidRDefault="00000000" w:rsidRPr="00000000" w14:paraId="00000030">
      <w:pPr>
        <w:numPr>
          <w:ilvl w:val="0"/>
          <w:numId w:val="8"/>
        </w:numPr>
        <w:ind w:left="720" w:hanging="360"/>
      </w:pPr>
      <w:r w:rsidDel="00000000" w:rsidR="00000000" w:rsidRPr="00000000">
        <w:rPr>
          <w:rtl w:val="0"/>
        </w:rPr>
        <w:t xml:space="preserve">Posibilidad de heredar los fondos a los familiares.</w:t>
      </w:r>
    </w:p>
    <w:p w:rsidR="00000000" w:rsidDel="00000000" w:rsidP="00000000" w:rsidRDefault="00000000" w:rsidRPr="00000000" w14:paraId="00000031">
      <w:pPr>
        <w:numPr>
          <w:ilvl w:val="0"/>
          <w:numId w:val="8"/>
        </w:numPr>
        <w:ind w:left="720" w:hanging="360"/>
      </w:pPr>
      <w:r w:rsidDel="00000000" w:rsidR="00000000" w:rsidRPr="00000000">
        <w:rPr>
          <w:rtl w:val="0"/>
        </w:rPr>
        <w:t xml:space="preserve">Nivel de riesgo frente a la inflación o crisis del mercado.</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3">
      <w:pPr>
        <w:rPr/>
      </w:pPr>
      <w:r w:rsidDel="00000000" w:rsidR="00000000" w:rsidRPr="00000000">
        <w:rPr>
          <w:b w:val="1"/>
          <w:bCs w:val="1"/>
          <w:rtl w:val="0"/>
        </w:rPr>
        <w:t xml:space="preserve">Discusión de Asunto Público:</w:t>
      </w:r>
      <w:r w:rsidDel="00000000" w:rsidR="00000000" w:rsidRPr="00000000">
        <w:rPr>
          <w:rtl w:val="0"/>
        </w:rPr>
        <w:br w:type="textWrapping"/>
        <w:t xml:space="preserve">Se organiza un plenario rápido sobre la problemática de la informalidad en Socabaya y el Perú. Se analiza la estadística: 7 de cada 10 trabajadores son informales y no aportan a ningún sistema.</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5">
      <w:pPr>
        <w:numPr>
          <w:ilvl w:val="0"/>
          <w:numId w:val="3"/>
        </w:numPr>
        <w:ind w:left="720" w:hanging="360"/>
      </w:pPr>
      <w:r w:rsidDel="00000000" w:rsidR="00000000" w:rsidRPr="00000000">
        <w:rPr>
          <w:i w:val="1"/>
          <w:iCs w:val="1"/>
          <w:rtl w:val="0"/>
        </w:rPr>
        <w:t xml:space="preserve">Pregunta de reflexión:</w:t>
      </w:r>
      <w:r w:rsidDel="00000000" w:rsidR="00000000" w:rsidRPr="00000000">
        <w:rPr>
          <w:rtl w:val="0"/>
        </w:rPr>
        <w:t xml:space="preserve"> Si la mayoría no ahorra para su vejez, ¿quién asumirá el costo de su salud y alimentación en el futuro? ¿Es esto un problema privado o un asunto público que afecta a toda la sociedad?</w:t>
      </w:r>
    </w:p>
    <w:p w:rsidR="00000000" w:rsidDel="00000000" w:rsidP="00000000" w:rsidRDefault="00000000" w:rsidRPr="00000000" w14:paraId="00000036">
      <w:pPr>
        <w:pStyle w:val="Heading2"/>
        <w:rPr/>
      </w:pPr>
      <w:bookmarkStart w:colFirst="0" w:colLast="0" w:name="_2qxaxuup90ht" w:id="8"/>
      <w:bookmarkEnd w:id="8"/>
      <w:r w:rsidDel="00000000" w:rsidR="00000000" w:rsidRPr="00000000">
        <w:rPr>
          <w:rtl w:val="0"/>
        </w:rPr>
        <w:t xml:space="preserve">Cierre (15 minutos)</w:t>
      </w:r>
    </w:p>
    <w:p w:rsidR="00000000" w:rsidDel="00000000" w:rsidP="00000000" w:rsidRDefault="00000000" w:rsidRPr="00000000" w14:paraId="00000037">
      <w:pPr>
        <w:rPr/>
      </w:pPr>
      <w:r w:rsidDel="00000000" w:rsidR="00000000" w:rsidRPr="00000000">
        <w:rPr>
          <w:b w:val="1"/>
          <w:bCs w:val="1"/>
          <w:rtl w:val="0"/>
        </w:rPr>
        <w:t xml:space="preserve">Conclusión Guiada:</w:t>
      </w:r>
      <w:r w:rsidDel="00000000" w:rsidR="00000000" w:rsidRPr="00000000">
        <w:rPr>
          <w:rtl w:val="0"/>
        </w:rPr>
        <w:br w:type="textWrapping"/>
        <w:t xml:space="preserve">La docente sintetiza las ideas fuerza: El sistema previsional no es solo un descuento, es un seguro de vida a largo plazo. Se enfatiza que no hay un sistema "perfecto", sino que cada uno responde a diferentes realidades laborales y perfiles de riesgo.</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9">
      <w:pPr>
        <w:rPr/>
      </w:pPr>
      <w:r w:rsidDel="00000000" w:rsidR="00000000" w:rsidRPr="00000000">
        <w:rPr>
          <w:b w:val="1"/>
          <w:bCs w:val="1"/>
          <w:rtl w:val="0"/>
        </w:rPr>
        <w:t xml:space="preserve">Metacognición:</w:t>
      </w:r>
      <w:r w:rsidDel="00000000" w:rsidR="00000000" w:rsidRPr="00000000">
        <w:rPr>
          <w:rtl w:val="0"/>
        </w:rPr>
        <w:br w:type="textWrapping"/>
        <w:t xml:space="preserve">Los estudiantes responden brevemente:</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B">
      <w:pPr>
        <w:numPr>
          <w:ilvl w:val="0"/>
          <w:numId w:val="7"/>
        </w:numPr>
        <w:ind w:left="720" w:hanging="360"/>
      </w:pPr>
      <w:r w:rsidDel="00000000" w:rsidR="00000000" w:rsidRPr="00000000">
        <w:rPr>
          <w:rtl w:val="0"/>
        </w:rPr>
        <w:t xml:space="preserve">¿Qué información de la clase de hoy considero vital compartir hoy mismo con mis padres o hermanos mayores que ya trabajan?</w:t>
      </w:r>
    </w:p>
    <w:p w:rsidR="00000000" w:rsidDel="00000000" w:rsidP="00000000" w:rsidRDefault="00000000" w:rsidRPr="00000000" w14:paraId="0000003C">
      <w:pPr>
        <w:numPr>
          <w:ilvl w:val="0"/>
          <w:numId w:val="7"/>
        </w:numPr>
        <w:ind w:left="720" w:hanging="360"/>
      </w:pPr>
      <w:r w:rsidDel="00000000" w:rsidR="00000000" w:rsidRPr="00000000">
        <w:rPr>
          <w:rtl w:val="0"/>
        </w:rPr>
        <w:t xml:space="preserve">¿Cómo ha cambiado mi visión sobre los "descuentos" en una boleta de pago?</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3E">
      <w:pPr>
        <w:rPr/>
      </w:pPr>
      <w:r w:rsidDel="00000000" w:rsidR="00000000" w:rsidRPr="00000000">
        <w:rPr>
          <w:b w:val="1"/>
          <w:bCs w:val="1"/>
          <w:rtl w:val="0"/>
        </w:rPr>
        <w:t xml:space="preserve">Evaluación:</w:t>
      </w:r>
      <w:r w:rsidDel="00000000" w:rsidR="00000000" w:rsidRPr="00000000">
        <w:rPr>
          <w:rtl w:val="0"/>
        </w:rPr>
        <w:br w:type="textWrapping"/>
        <w:t xml:space="preserve">Se realiza la verificación de las matrices en los cuadernos utilizando la lista de cotejo.</w:t>
      </w:r>
    </w:p>
    <w:p w:rsidR="00000000" w:rsidDel="00000000" w:rsidP="00000000" w:rsidRDefault="00000000" w:rsidRPr="00000000" w14:paraId="0000003F">
      <w:pPr>
        <w:pStyle w:val="Heading1"/>
        <w:rPr/>
      </w:pPr>
      <w:bookmarkStart w:colFirst="0" w:colLast="0" w:name="_4le0a8jax6iu" w:id="9"/>
      <w:bookmarkEnd w:id="9"/>
      <w:r w:rsidDel="00000000" w:rsidR="00000000" w:rsidRPr="00000000">
        <w:rPr>
          <w:rtl w:val="0"/>
        </w:rPr>
        <w:t xml:space="preserve">IV. Marco Teórico: Sistemas de Pensiones en el Perú</w:t>
      </w:r>
    </w:p>
    <w:p w:rsidR="00000000" w:rsidDel="00000000" w:rsidP="00000000" w:rsidRDefault="00000000" w:rsidRPr="00000000" w14:paraId="00000040">
      <w:pPr>
        <w:rPr/>
      </w:pPr>
      <w:r w:rsidDel="00000000" w:rsidR="00000000" w:rsidRPr="00000000">
        <w:rPr>
          <w:rtl w:val="0"/>
        </w:rPr>
        <w:t xml:space="preserve">El sistema previsional peruano tiene como objetivo otorgar pensiones de jubilación, invalidez y sobrevivencia. Actualmente coexisten dos regímenes principales:</w:t>
      </w:r>
    </w:p>
    <w:p w:rsidR="00000000" w:rsidDel="00000000" w:rsidP="00000000" w:rsidRDefault="00000000" w:rsidRPr="00000000" w14:paraId="00000041">
      <w:pPr>
        <w:pStyle w:val="Heading2"/>
        <w:rPr/>
      </w:pPr>
      <w:bookmarkStart w:colFirst="0" w:colLast="0" w:name="_1nufrh9x25ef" w:id="10"/>
      <w:bookmarkEnd w:id="10"/>
      <w:r w:rsidDel="00000000" w:rsidR="00000000" w:rsidRPr="00000000">
        <w:rPr>
          <w:rtl w:val="0"/>
        </w:rPr>
        <w:t xml:space="preserve">1. Sistema Nacional de Pensiones (SNP - ONP)</w:t>
      </w:r>
    </w:p>
    <w:p w:rsidR="00000000" w:rsidDel="00000000" w:rsidP="00000000" w:rsidRDefault="00000000" w:rsidRPr="00000000" w14:paraId="00000042">
      <w:pPr>
        <w:rPr/>
      </w:pPr>
      <w:r w:rsidDel="00000000" w:rsidR="00000000" w:rsidRPr="00000000">
        <w:rPr>
          <w:rtl w:val="0"/>
        </w:rPr>
        <w:t xml:space="preserve">Administrado por la Oficina de Normalización Previsional. Es un </w:t>
      </w:r>
      <w:r w:rsidDel="00000000" w:rsidR="00000000" w:rsidRPr="00000000">
        <w:rPr>
          <w:b w:val="1"/>
          <w:bCs w:val="1"/>
          <w:rtl w:val="0"/>
        </w:rPr>
        <w:t xml:space="preserve">sistema de reparto</w:t>
      </w:r>
      <w:r w:rsidDel="00000000" w:rsidR="00000000" w:rsidRPr="00000000">
        <w:rPr>
          <w:rtl w:val="0"/>
        </w:rPr>
        <w:t xml:space="preserve">.</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4">
      <w:pPr>
        <w:numPr>
          <w:ilvl w:val="0"/>
          <w:numId w:val="5"/>
        </w:numPr>
        <w:ind w:left="720" w:hanging="360"/>
      </w:pPr>
      <w:r w:rsidDel="00000000" w:rsidR="00000000" w:rsidRPr="00000000">
        <w:rPr>
          <w:b w:val="1"/>
          <w:bCs w:val="1"/>
          <w:rtl w:val="0"/>
        </w:rPr>
        <w:t xml:space="preserve">Funcionamiento:</w:t>
      </w:r>
      <w:r w:rsidDel="00000000" w:rsidR="00000000" w:rsidRPr="00000000">
        <w:rPr>
          <w:rtl w:val="0"/>
        </w:rPr>
        <w:t xml:space="preserve"> Los aportes de los trabajadores activos ingresan a un fondo común que se utiliza para pagar las pensiones de los jubilados actuales.</w:t>
      </w:r>
    </w:p>
    <w:p w:rsidR="00000000" w:rsidDel="00000000" w:rsidP="00000000" w:rsidRDefault="00000000" w:rsidRPr="00000000" w14:paraId="00000045">
      <w:pPr>
        <w:numPr>
          <w:ilvl w:val="0"/>
          <w:numId w:val="5"/>
        </w:numPr>
        <w:ind w:left="720" w:hanging="360"/>
      </w:pPr>
      <w:r w:rsidDel="00000000" w:rsidR="00000000" w:rsidRPr="00000000">
        <w:rPr>
          <w:b w:val="1"/>
          <w:bCs w:val="1"/>
          <w:rtl w:val="0"/>
        </w:rPr>
        <w:t xml:space="preserve">Aporte:</w:t>
      </w:r>
      <w:r w:rsidDel="00000000" w:rsidR="00000000" w:rsidRPr="00000000">
        <w:rPr>
          <w:rtl w:val="0"/>
        </w:rPr>
        <w:t xml:space="preserve"> 13% de la remuneración asegurable.</w:t>
      </w:r>
    </w:p>
    <w:p w:rsidR="00000000" w:rsidDel="00000000" w:rsidP="00000000" w:rsidRDefault="00000000" w:rsidRPr="00000000" w14:paraId="00000046">
      <w:pPr>
        <w:numPr>
          <w:ilvl w:val="0"/>
          <w:numId w:val="5"/>
        </w:numPr>
        <w:ind w:left="720" w:hanging="360"/>
      </w:pPr>
      <w:r w:rsidDel="00000000" w:rsidR="00000000" w:rsidRPr="00000000">
        <w:rPr>
          <w:b w:val="1"/>
          <w:bCs w:val="1"/>
          <w:rtl w:val="0"/>
        </w:rPr>
        <w:t xml:space="preserve">Requisito:</w:t>
      </w:r>
      <w:r w:rsidDel="00000000" w:rsidR="00000000" w:rsidRPr="00000000">
        <w:rPr>
          <w:rtl w:val="0"/>
        </w:rPr>
        <w:t xml:space="preserve"> Para jubilarse se requiere tener al menos 65 años de edad y haber acreditado 20 años de aportes (bajo el nuevo reglamento existen pensiones proporcionales con 10 o 15 años).</w:t>
      </w:r>
    </w:p>
    <w:p w:rsidR="00000000" w:rsidDel="00000000" w:rsidP="00000000" w:rsidRDefault="00000000" w:rsidRPr="00000000" w14:paraId="00000047">
      <w:pPr>
        <w:numPr>
          <w:ilvl w:val="0"/>
          <w:numId w:val="5"/>
        </w:numPr>
        <w:ind w:left="720" w:hanging="360"/>
      </w:pPr>
      <w:r w:rsidDel="00000000" w:rsidR="00000000" w:rsidRPr="00000000">
        <w:rPr>
          <w:b w:val="1"/>
          <w:bCs w:val="1"/>
          <w:rtl w:val="0"/>
        </w:rPr>
        <w:t xml:space="preserve">Pensión:</w:t>
      </w:r>
      <w:r w:rsidDel="00000000" w:rsidR="00000000" w:rsidRPr="00000000">
        <w:rPr>
          <w:rtl w:val="0"/>
        </w:rPr>
        <w:t xml:space="preserve"> Existe una pensión mínima y una máxima fijada por ley.</w:t>
      </w:r>
    </w:p>
    <w:p w:rsidR="00000000" w:rsidDel="00000000" w:rsidP="00000000" w:rsidRDefault="00000000" w:rsidRPr="00000000" w14:paraId="00000048">
      <w:pPr>
        <w:pStyle w:val="Heading2"/>
        <w:rPr/>
      </w:pPr>
      <w:bookmarkStart w:colFirst="0" w:colLast="0" w:name="_cvg6mgojvmqf" w:id="11"/>
      <w:bookmarkEnd w:id="11"/>
      <w:r w:rsidDel="00000000" w:rsidR="00000000" w:rsidRPr="00000000">
        <w:rPr>
          <w:rtl w:val="0"/>
        </w:rPr>
        <w:t xml:space="preserve">2. Sistema Privado de Pensiones (SPP - AFP)</w:t>
      </w:r>
    </w:p>
    <w:p w:rsidR="00000000" w:rsidDel="00000000" w:rsidP="00000000" w:rsidRDefault="00000000" w:rsidRPr="00000000" w14:paraId="00000049">
      <w:pPr>
        <w:rPr/>
      </w:pPr>
      <w:r w:rsidDel="00000000" w:rsidR="00000000" w:rsidRPr="00000000">
        <w:rPr>
          <w:rtl w:val="0"/>
        </w:rPr>
        <w:t xml:space="preserve">Administrado por las Administradoras de Fondos de Pensiones. Es un sistema de capitalización individual.</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4B">
      <w:pPr>
        <w:numPr>
          <w:ilvl w:val="0"/>
          <w:numId w:val="6"/>
        </w:numPr>
        <w:ind w:left="720" w:hanging="360"/>
      </w:pPr>
      <w:r w:rsidDel="00000000" w:rsidR="00000000" w:rsidRPr="00000000">
        <w:rPr>
          <w:rtl w:val="0"/>
        </w:rPr>
        <w:t xml:space="preserve">Funcionamiento: Cada trabajador tiene una Cuenta Individual de Capitalización (CIC). El dinero se invierte en mercados financieros para generar rentabilidad.</w:t>
      </w:r>
    </w:p>
    <w:p w:rsidR="00000000" w:rsidDel="00000000" w:rsidP="00000000" w:rsidRDefault="00000000" w:rsidRPr="00000000" w14:paraId="0000004C">
      <w:pPr>
        <w:numPr>
          <w:ilvl w:val="0"/>
          <w:numId w:val="6"/>
        </w:numPr>
        <w:ind w:left="720" w:hanging="360"/>
      </w:pPr>
      <w:r w:rsidDel="00000000" w:rsidR="00000000" w:rsidRPr="00000000">
        <w:rPr>
          <w:rtl w:val="0"/>
        </w:rPr>
        <w:t xml:space="preserve">Aporte: Aproximadamente el 13% (10% de aporte obligatorio + prima de seguro + comisión de la AFP).</w:t>
      </w:r>
    </w:p>
    <w:p w:rsidR="00000000" w:rsidDel="00000000" w:rsidP="00000000" w:rsidRDefault="00000000" w:rsidRPr="00000000" w14:paraId="0000004D">
      <w:pPr>
        <w:numPr>
          <w:ilvl w:val="0"/>
          <w:numId w:val="6"/>
        </w:numPr>
        <w:ind w:left="720" w:hanging="360"/>
      </w:pPr>
      <w:r w:rsidDel="00000000" w:rsidR="00000000" w:rsidRPr="00000000">
        <w:rPr>
          <w:rtl w:val="0"/>
        </w:rPr>
        <w:t xml:space="preserve">Requisito: No hay años mínimos de aporte exigidos para jubilarse; la pensión dependerá directamente de cuánto dinero se haya acumulado y la rentabilidad obtenida.</w:t>
      </w:r>
    </w:p>
    <w:p w:rsidR="00000000" w:rsidDel="00000000" w:rsidP="00000000" w:rsidRDefault="00000000" w:rsidRPr="00000000" w14:paraId="0000004E">
      <w:pPr>
        <w:numPr>
          <w:ilvl w:val="0"/>
          <w:numId w:val="6"/>
        </w:numPr>
        <w:ind w:left="720" w:hanging="360"/>
      </w:pPr>
      <w:r w:rsidDel="00000000" w:rsidR="00000000" w:rsidRPr="00000000">
        <w:rPr>
          <w:rtl w:val="0"/>
        </w:rPr>
        <w:t xml:space="preserve">Heredabilidad: En caso de fallecimiento, si no hay beneficiarios de ley, el saldo de la cuenta constituye herencia.</w:t>
      </w:r>
    </w:p>
    <w:p w:rsidR="00000000" w:rsidDel="00000000" w:rsidP="00000000" w:rsidRDefault="00000000" w:rsidRPr="00000000" w14:paraId="0000004F">
      <w:pPr>
        <w:pStyle w:val="Heading2"/>
        <w:rPr/>
      </w:pPr>
      <w:bookmarkStart w:colFirst="0" w:colLast="0" w:name="_c59u9r42yo9g" w:id="12"/>
      <w:bookmarkEnd w:id="12"/>
      <w:r w:rsidDel="00000000" w:rsidR="00000000" w:rsidRPr="00000000">
        <w:rPr>
          <w:rtl w:val="0"/>
        </w:rPr>
        <w:t xml:space="preserve">Cuadro Resumen Comparativo</w:t>
      </w:r>
    </w:p>
    <w:tbl>
      <w:tblPr>
        <w:tblStyle w:val="Table2"/>
        <w:tblW w:w="10500.0" w:type="dxa"/>
        <w:jc w:val="left"/>
        <w:tblBorders>
          <w:top w:color="e0e0e0" w:space="0" w:sz="8" w:val="single"/>
          <w:left w:color="000000" w:space="0" w:sz="0" w:val="nil"/>
          <w:bottom w:color="e0e0e0" w:space="0" w:sz="8" w:val="single"/>
          <w:right w:color="000000" w:space="0" w:sz="0" w:val="nil"/>
          <w:insideH w:color="e0e0e0" w:space="0" w:sz="8" w:val="single"/>
          <w:insideV w:color="e0e0e0" w:space="0" w:sz="8" w:val="single"/>
        </w:tblBorders>
        <w:tblLayout w:type="fixed"/>
        <w:tblLook w:val="0620"/>
      </w:tblPr>
      <w:tblGrid>
        <w:gridCol w:w="3500"/>
        <w:gridCol w:w="3500"/>
        <w:gridCol w:w="3500"/>
        <w:tblGridChange w:id="0">
          <w:tblGrid>
            <w:gridCol w:w="3500"/>
            <w:gridCol w:w="3500"/>
            <w:gridCol w:w="3500"/>
          </w:tblGrid>
        </w:tblGridChange>
      </w:tblGrid>
      <w:tr>
        <w:trPr>
          <w:cantSplit w:val="0"/>
          <w:tblHeader w:val="1"/>
        </w:trPr>
        <w:tc>
          <w:tcPr/>
          <w:p w:rsidR="00000000" w:rsidDel="00000000" w:rsidP="00000000" w:rsidRDefault="00000000" w:rsidRPr="00000000" w14:paraId="00000050">
            <w:pPr>
              <w:rPr/>
            </w:pPr>
            <w:r w:rsidDel="00000000" w:rsidR="00000000" w:rsidRPr="00000000">
              <w:rPr>
                <w:rtl w:val="0"/>
              </w:rPr>
              <w:t xml:space="preserve">Característica</w:t>
            </w:r>
          </w:p>
        </w:tc>
        <w:tc>
          <w:tcPr/>
          <w:p w:rsidR="00000000" w:rsidDel="00000000" w:rsidP="00000000" w:rsidRDefault="00000000" w:rsidRPr="00000000" w14:paraId="00000051">
            <w:pPr>
              <w:rPr/>
            </w:pPr>
            <w:r w:rsidDel="00000000" w:rsidR="00000000" w:rsidRPr="00000000">
              <w:rPr>
                <w:rtl w:val="0"/>
              </w:rPr>
              <w:t xml:space="preserve">SNP (ONP)</w:t>
            </w:r>
          </w:p>
        </w:tc>
        <w:tc>
          <w:tcPr/>
          <w:p w:rsidR="00000000" w:rsidDel="00000000" w:rsidP="00000000" w:rsidRDefault="00000000" w:rsidRPr="00000000" w14:paraId="00000052">
            <w:pPr>
              <w:rPr/>
            </w:pPr>
            <w:r w:rsidDel="00000000" w:rsidR="00000000" w:rsidRPr="00000000">
              <w:rPr>
                <w:rtl w:val="0"/>
              </w:rPr>
              <w:t xml:space="preserve">SPP (AFP)</w:t>
            </w:r>
          </w:p>
        </w:tc>
      </w:tr>
      <w:tr>
        <w:trPr>
          <w:cantSplit w:val="0"/>
          <w:tblHeader w:val="0"/>
        </w:trPr>
        <w:tc>
          <w:tcPr/>
          <w:p w:rsidR="00000000" w:rsidDel="00000000" w:rsidP="00000000" w:rsidRDefault="00000000" w:rsidRPr="00000000" w14:paraId="00000053">
            <w:pPr>
              <w:rPr/>
            </w:pPr>
            <w:r w:rsidDel="00000000" w:rsidR="00000000" w:rsidRPr="00000000">
              <w:rPr>
                <w:rtl w:val="0"/>
              </w:rPr>
              <w:t xml:space="preserve">Administración</w:t>
            </w:r>
          </w:p>
        </w:tc>
        <w:tc>
          <w:tcPr/>
          <w:p w:rsidR="00000000" w:rsidDel="00000000" w:rsidP="00000000" w:rsidRDefault="00000000" w:rsidRPr="00000000" w14:paraId="00000054">
            <w:pPr>
              <w:rPr/>
            </w:pPr>
            <w:r w:rsidDel="00000000" w:rsidR="00000000" w:rsidRPr="00000000">
              <w:rPr>
                <w:rtl w:val="0"/>
              </w:rPr>
              <w:t xml:space="preserve">Estatal (ONP)</w:t>
            </w:r>
          </w:p>
        </w:tc>
        <w:tc>
          <w:tcPr/>
          <w:p w:rsidR="00000000" w:rsidDel="00000000" w:rsidP="00000000" w:rsidRDefault="00000000" w:rsidRPr="00000000" w14:paraId="00000055">
            <w:pPr>
              <w:rPr/>
            </w:pPr>
            <w:r w:rsidDel="00000000" w:rsidR="00000000" w:rsidRPr="00000000">
              <w:rPr>
                <w:rtl w:val="0"/>
              </w:rPr>
              <w:t xml:space="preserve">Privada (AFPs)</w:t>
            </w:r>
          </w:p>
        </w:tc>
      </w:tr>
      <w:tr>
        <w:trPr>
          <w:cantSplit w:val="0"/>
          <w:tblHeader w:val="0"/>
        </w:trPr>
        <w:tc>
          <w:tcPr/>
          <w:p w:rsidR="00000000" w:rsidDel="00000000" w:rsidP="00000000" w:rsidRDefault="00000000" w:rsidRPr="00000000" w14:paraId="00000056">
            <w:pPr>
              <w:rPr/>
            </w:pPr>
            <w:r w:rsidDel="00000000" w:rsidR="00000000" w:rsidRPr="00000000">
              <w:rPr>
                <w:rtl w:val="0"/>
              </w:rPr>
              <w:t xml:space="preserve">Tipo de Fondo</w:t>
            </w:r>
          </w:p>
        </w:tc>
        <w:tc>
          <w:tcPr/>
          <w:p w:rsidR="00000000" w:rsidDel="00000000" w:rsidP="00000000" w:rsidRDefault="00000000" w:rsidRPr="00000000" w14:paraId="00000057">
            <w:pPr>
              <w:rPr/>
            </w:pPr>
            <w:r w:rsidDel="00000000" w:rsidR="00000000" w:rsidRPr="00000000">
              <w:rPr>
                <w:rtl w:val="0"/>
              </w:rPr>
              <w:t xml:space="preserve">Fondo Común (Solidario)</w:t>
            </w:r>
          </w:p>
        </w:tc>
        <w:tc>
          <w:tcPr/>
          <w:p w:rsidR="00000000" w:rsidDel="00000000" w:rsidP="00000000" w:rsidRDefault="00000000" w:rsidRPr="00000000" w14:paraId="00000058">
            <w:pPr>
              <w:rPr/>
            </w:pPr>
            <w:r w:rsidDel="00000000" w:rsidR="00000000" w:rsidRPr="00000000">
              <w:rPr>
                <w:rtl w:val="0"/>
              </w:rPr>
              <w:t xml:space="preserve">Cuenta Individual (Propiedad del trabajador)</w:t>
            </w:r>
          </w:p>
        </w:tc>
      </w:tr>
      <w:tr>
        <w:trPr>
          <w:cantSplit w:val="0"/>
          <w:tblHeader w:val="0"/>
        </w:trPr>
        <w:tc>
          <w:tcPr/>
          <w:p w:rsidR="00000000" w:rsidDel="00000000" w:rsidP="00000000" w:rsidRDefault="00000000" w:rsidRPr="00000000" w14:paraId="00000059">
            <w:pPr>
              <w:rPr/>
            </w:pPr>
            <w:r w:rsidDel="00000000" w:rsidR="00000000" w:rsidRPr="00000000">
              <w:rPr>
                <w:rtl w:val="0"/>
              </w:rPr>
              <w:t xml:space="preserve">Pensión Mínima</w:t>
            </w:r>
          </w:p>
        </w:tc>
        <w:tc>
          <w:tcPr/>
          <w:p w:rsidR="00000000" w:rsidDel="00000000" w:rsidP="00000000" w:rsidRDefault="00000000" w:rsidRPr="00000000" w14:paraId="0000005A">
            <w:pPr>
              <w:rPr/>
            </w:pPr>
            <w:r w:rsidDel="00000000" w:rsidR="00000000" w:rsidRPr="00000000">
              <w:rPr>
                <w:rtl w:val="0"/>
              </w:rPr>
              <w:t xml:space="preserve">Garantizada (S/ 500 actualmente)</w:t>
            </w:r>
          </w:p>
        </w:tc>
        <w:tc>
          <w:tcPr/>
          <w:p w:rsidR="00000000" w:rsidDel="00000000" w:rsidP="00000000" w:rsidRDefault="00000000" w:rsidRPr="00000000" w14:paraId="0000005B">
            <w:pPr>
              <w:rPr/>
            </w:pPr>
            <w:r w:rsidDel="00000000" w:rsidR="00000000" w:rsidRPr="00000000">
              <w:rPr>
                <w:rtl w:val="0"/>
              </w:rPr>
              <w:t xml:space="preserve">No garantizada (Depende del ahorro)</w:t>
            </w:r>
          </w:p>
        </w:tc>
      </w:tr>
      <w:tr>
        <w:trPr>
          <w:cantSplit w:val="0"/>
          <w:tblHeader w:val="0"/>
        </w:trPr>
        <w:tc>
          <w:tcPr/>
          <w:p w:rsidR="00000000" w:rsidDel="00000000" w:rsidP="00000000" w:rsidRDefault="00000000" w:rsidRPr="00000000" w14:paraId="0000005C">
            <w:pPr>
              <w:rPr/>
            </w:pPr>
            <w:r w:rsidDel="00000000" w:rsidR="00000000" w:rsidRPr="00000000">
              <w:rPr>
                <w:rtl w:val="0"/>
              </w:rPr>
              <w:t xml:space="preserve">Tope de Pensión</w:t>
            </w:r>
          </w:p>
        </w:tc>
        <w:tc>
          <w:tcPr/>
          <w:p w:rsidR="00000000" w:rsidDel="00000000" w:rsidP="00000000" w:rsidRDefault="00000000" w:rsidRPr="00000000" w14:paraId="0000005D">
            <w:pPr>
              <w:rPr/>
            </w:pPr>
            <w:r w:rsidDel="00000000" w:rsidR="00000000" w:rsidRPr="00000000">
              <w:rPr>
                <w:rtl w:val="0"/>
              </w:rPr>
              <w:t xml:space="preserve">Máximo fijado por ley</w:t>
            </w:r>
          </w:p>
        </w:tc>
        <w:tc>
          <w:tcPr/>
          <w:p w:rsidR="00000000" w:rsidDel="00000000" w:rsidP="00000000" w:rsidRDefault="00000000" w:rsidRPr="00000000" w14:paraId="0000005E">
            <w:pPr>
              <w:rPr/>
            </w:pPr>
            <w:r w:rsidDel="00000000" w:rsidR="00000000" w:rsidRPr="00000000">
              <w:rPr>
                <w:rtl w:val="0"/>
              </w:rPr>
              <w:t xml:space="preserve">No hay tope (Depende del saldo acumulado)</w:t>
            </w:r>
          </w:p>
        </w:tc>
      </w:tr>
      <w:tr>
        <w:trPr>
          <w:cantSplit w:val="0"/>
          <w:tblHeader w:val="0"/>
        </w:trPr>
        <w:tc>
          <w:tcPr/>
          <w:p w:rsidR="00000000" w:rsidDel="00000000" w:rsidP="00000000" w:rsidRDefault="00000000" w:rsidRPr="00000000" w14:paraId="0000005F">
            <w:pPr>
              <w:rPr/>
            </w:pPr>
            <w:r w:rsidDel="00000000" w:rsidR="00000000" w:rsidRPr="00000000">
              <w:rPr>
                <w:rtl w:val="0"/>
              </w:rPr>
              <w:t xml:space="preserve">Años de Aporte</w:t>
            </w:r>
          </w:p>
        </w:tc>
        <w:tc>
          <w:tcPr/>
          <w:p w:rsidR="00000000" w:rsidDel="00000000" w:rsidP="00000000" w:rsidRDefault="00000000" w:rsidRPr="00000000" w14:paraId="00000060">
            <w:pPr>
              <w:rPr/>
            </w:pPr>
            <w:r w:rsidDel="00000000" w:rsidR="00000000" w:rsidRPr="00000000">
              <w:rPr>
                <w:rtl w:val="0"/>
              </w:rPr>
              <w:t xml:space="preserve">Mínimo 10-20 años exigibles</w:t>
            </w:r>
          </w:p>
        </w:tc>
        <w:tc>
          <w:tcPr/>
          <w:p w:rsidR="00000000" w:rsidDel="00000000" w:rsidP="00000000" w:rsidRDefault="00000000" w:rsidRPr="00000000" w14:paraId="00000061">
            <w:pPr>
              <w:rPr/>
            </w:pPr>
            <w:r w:rsidDel="00000000" w:rsidR="00000000" w:rsidRPr="00000000">
              <w:rPr>
                <w:rtl w:val="0"/>
              </w:rPr>
              <w:t xml:space="preserve">No se exige un mínimo de años</w:t>
            </w:r>
          </w:p>
        </w:tc>
      </w:tr>
      <w:tr>
        <w:trPr>
          <w:cantSplit w:val="0"/>
          <w:tblHeader w:val="0"/>
        </w:trPr>
        <w:tc>
          <w:tcPr/>
          <w:p w:rsidR="00000000" w:rsidDel="00000000" w:rsidP="00000000" w:rsidRDefault="00000000" w:rsidRPr="00000000" w14:paraId="00000062">
            <w:pPr>
              <w:rPr/>
            </w:pPr>
            <w:r w:rsidDel="00000000" w:rsidR="00000000" w:rsidRPr="00000000">
              <w:rPr>
                <w:rtl w:val="0"/>
              </w:rPr>
              <w:t xml:space="preserve">Heredabilidad</w:t>
            </w:r>
          </w:p>
        </w:tc>
        <w:tc>
          <w:tcPr/>
          <w:p w:rsidR="00000000" w:rsidDel="00000000" w:rsidP="00000000" w:rsidRDefault="00000000" w:rsidRPr="00000000" w14:paraId="00000063">
            <w:pPr>
              <w:rPr/>
            </w:pPr>
            <w:r w:rsidDel="00000000" w:rsidR="00000000" w:rsidRPr="00000000">
              <w:rPr>
                <w:rtl w:val="0"/>
              </w:rPr>
              <w:t xml:space="preserve">Solo pensión de sobrevivencia</w:t>
            </w:r>
          </w:p>
        </w:tc>
        <w:tc>
          <w:tcPr/>
          <w:p w:rsidR="00000000" w:rsidDel="00000000" w:rsidP="00000000" w:rsidRDefault="00000000" w:rsidRPr="00000000" w14:paraId="00000064">
            <w:pPr>
              <w:rPr/>
            </w:pPr>
            <w:r w:rsidDel="00000000" w:rsidR="00000000" w:rsidRPr="00000000">
              <w:rPr>
                <w:rtl w:val="0"/>
              </w:rPr>
              <w:t xml:space="preserve">El fondo es heredable como patrimonio</w:t>
            </w:r>
          </w:p>
        </w:tc>
      </w:tr>
      <w:tr>
        <w:trPr>
          <w:cantSplit w:val="0"/>
          <w:tblHeader w:val="0"/>
        </w:trPr>
        <w:tc>
          <w:tcPr/>
          <w:p w:rsidR="00000000" w:rsidDel="00000000" w:rsidP="00000000" w:rsidRDefault="00000000" w:rsidRPr="00000000" w14:paraId="00000065">
            <w:pPr>
              <w:rPr/>
            </w:pPr>
            <w:r w:rsidDel="00000000" w:rsidR="00000000" w:rsidRPr="00000000">
              <w:rPr>
                <w:rtl w:val="0"/>
              </w:rPr>
              <w:t xml:space="preserve">Riesgo</w:t>
            </w:r>
          </w:p>
        </w:tc>
        <w:tc>
          <w:tcPr/>
          <w:p w:rsidR="00000000" w:rsidDel="00000000" w:rsidP="00000000" w:rsidRDefault="00000000" w:rsidRPr="00000000" w14:paraId="00000066">
            <w:pPr>
              <w:rPr/>
            </w:pPr>
            <w:r w:rsidDel="00000000" w:rsidR="00000000" w:rsidRPr="00000000">
              <w:rPr>
                <w:rtl w:val="0"/>
              </w:rPr>
              <w:t xml:space="preserve">Asumido por el Estado</w:t>
            </w:r>
          </w:p>
        </w:tc>
        <w:tc>
          <w:tcPr/>
          <w:p w:rsidR="00000000" w:rsidDel="00000000" w:rsidP="00000000" w:rsidRDefault="00000000" w:rsidRPr="00000000" w14:paraId="00000067">
            <w:pPr>
              <w:rPr/>
            </w:pPr>
            <w:r w:rsidDel="00000000" w:rsidR="00000000" w:rsidRPr="00000000">
              <w:rPr>
                <w:rtl w:val="0"/>
              </w:rPr>
              <w:t xml:space="preserve">Asumido por el afiliado (variación del mercado)</w:t>
            </w:r>
          </w:p>
        </w:tc>
      </w:tr>
    </w:tbl>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Firma del Docente: </w:t>
      </w:r>
      <w:r w:rsidDel="00000000" w:rsidR="00000000" w:rsidRPr="00000000">
        <w:rPr>
          <w:rtl w:val="0"/>
        </w:rPr>
        <w:t xml:space="preserve">Person</w:t>
      </w:r>
      <w:r w:rsidDel="00000000" w:rsidR="00000000" w:rsidRPr="00000000">
        <w:rPr>
          <w:rtl w:val="0"/>
        </w:rPr>
        <w:br w:type="textWrapping"/>
        <w:t xml:space="preserve">Fecha de Ejecución: </w:t>
      </w:r>
      <w:r w:rsidDel="00000000" w:rsidR="00000000" w:rsidRPr="00000000">
        <w:rPr>
          <w:rtl w:val="0"/>
        </w:rPr>
        <w:t xml:space="preserve">Date</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decimal"/>
      <w:lvlText w:val="%1."/>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333333"/>
        <w:sz w:val="24"/>
        <w:szCs w:val="24"/>
        <w:lang w:val="es"/>
      </w:rPr>
    </w:rPrDefault>
    <w:pPrDefault>
      <w:pPr>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300" w:lineRule="auto"/>
    </w:pPr>
    <w:rPr>
      <w:rFonts w:ascii="Montserrat" w:cs="Montserrat" w:eastAsia="Montserrat" w:hAnsi="Montserrat"/>
      <w:b w:val="1"/>
      <w:bCs w:val="1"/>
      <w:i w:val="0"/>
      <w:iCs w:val="0"/>
      <w:color w:val="1a237e"/>
      <w:sz w:val="32"/>
      <w:szCs w:val="32"/>
    </w:rPr>
  </w:style>
  <w:style w:type="paragraph" w:styleId="Heading2">
    <w:name w:val="heading 2"/>
    <w:basedOn w:val="Normal"/>
    <w:next w:val="Normal"/>
    <w:pPr>
      <w:keepNext w:val="1"/>
      <w:keepLines w:val="1"/>
      <w:pageBreakBefore w:val="0"/>
      <w:spacing w:after="80" w:before="360" w:line="300" w:lineRule="auto"/>
    </w:pPr>
    <w:rPr>
      <w:rFonts w:ascii="Montserrat" w:cs="Montserrat" w:eastAsia="Montserrat" w:hAnsi="Montserrat"/>
      <w:b w:val="1"/>
      <w:bCs w:val="1"/>
      <w:i w:val="0"/>
      <w:iCs w:val="0"/>
      <w:color w:val="283593"/>
      <w:sz w:val="28"/>
      <w:szCs w:val="28"/>
    </w:rPr>
  </w:style>
  <w:style w:type="paragraph" w:styleId="Heading3">
    <w:name w:val="heading 3"/>
    <w:basedOn w:val="Normal"/>
    <w:next w:val="Normal"/>
    <w:pPr>
      <w:keepNext w:val="1"/>
      <w:keepLines w:val="1"/>
      <w:pageBreakBefore w:val="0"/>
      <w:spacing w:after="80" w:before="280" w:line="300" w:lineRule="auto"/>
    </w:pPr>
    <w:rPr>
      <w:rFonts w:ascii="Montserrat" w:cs="Montserrat" w:eastAsia="Montserrat" w:hAnsi="Montserrat"/>
      <w:b w:val="1"/>
      <w:bCs w:val="1"/>
      <w:i w:val="0"/>
      <w:iCs w:val="0"/>
      <w:color w:val="3949ab"/>
      <w:sz w:val="25"/>
      <w:szCs w:val="25"/>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240" w:lineRule="auto"/>
    </w:pPr>
    <w:rPr>
      <w:rFonts w:ascii="Montserrat" w:cs="Montserrat" w:eastAsia="Montserrat" w:hAnsi="Montserrat"/>
      <w:b w:val="1"/>
      <w:bCs w:val="1"/>
      <w:i w:val="0"/>
      <w:iCs w:val="0"/>
      <w:color w:val="1a237e"/>
      <w:sz w:val="40"/>
      <w:szCs w:val="40"/>
    </w:rPr>
  </w:style>
  <w:style w:type="paragraph" w:styleId="Subtitle">
    <w:name w:val="Subtitle"/>
    <w:basedOn w:val="Normal"/>
    <w:next w:val="Normal"/>
    <w:pPr>
      <w:keepNext w:val="1"/>
      <w:keepLines w:val="1"/>
      <w:pageBreakBefore w:val="0"/>
      <w:spacing w:after="80" w:before="360" w:line="300" w:lineRule="auto"/>
    </w:pPr>
    <w:rPr>
      <w:rFonts w:ascii="Montserrat" w:cs="Montserrat" w:eastAsia="Montserrat" w:hAnsi="Montserrat"/>
      <w:b w:val="1"/>
      <w:bCs w:val="1"/>
      <w:i w:val="0"/>
      <w:iCs w:val="0"/>
      <w:color w:val="3f51b5"/>
      <w:sz w:val="28"/>
      <w:szCs w:val="28"/>
    </w:rPr>
  </w:style>
  <w:style w:type="table" w:styleId="Table1">
    <w:basedOn w:val="TableNormal"/>
    <w:tblPr>
      <w:tblStyleRowBandSize w:val="1"/>
      <w:tblStyleColBandSize w:val="1"/>
      <w:tblCellMar>
        <w:top w:w="160.0" w:type="dxa"/>
        <w:left w:w="200.0" w:type="dxa"/>
        <w:bottom w:w="160.0" w:type="dxa"/>
        <w:right w:w="200.0" w:type="dxa"/>
      </w:tblCellMar>
    </w:tblPr>
    <w:tcPr>
      <w:shd w:fill="ffffff" w:val="clear"/>
      <w:vAlign w:val="center"/>
    </w:tcPr>
    <w:tblStylePr w:type="firstRow">
      <w:rPr>
        <w:rFonts w:ascii="Inter" w:cs="Inter" w:eastAsia="Inter" w:hAnsi="Inter"/>
        <w:b w:val="1"/>
        <w:bCs w:val="1"/>
        <w:i w:val="0"/>
        <w:iCs w:val="0"/>
        <w:color w:val="1a237e"/>
        <w:sz w:val="22"/>
        <w:szCs w:val="22"/>
      </w:rPr>
      <w:tcPr>
        <w:shd w:fill="f5f5f5" w:val="clear"/>
        <w:vAlign w:val="center"/>
      </w:tcPr>
    </w:tblStylePr>
  </w:style>
  <w:style w:type="table" w:styleId="Table2">
    <w:basedOn w:val="TableNormal"/>
    <w:tblPr>
      <w:tblStyleRowBandSize w:val="1"/>
      <w:tblStyleColBandSize w:val="1"/>
      <w:tblCellMar>
        <w:top w:w="160.0" w:type="dxa"/>
        <w:left w:w="200.0" w:type="dxa"/>
        <w:bottom w:w="160.0" w:type="dxa"/>
        <w:right w:w="200.0" w:type="dxa"/>
      </w:tblCellMar>
    </w:tblPr>
    <w:tcPr>
      <w:shd w:fill="ffffff" w:val="clear"/>
      <w:vAlign w:val="center"/>
    </w:tcPr>
    <w:tblStylePr w:type="firstRow">
      <w:rPr>
        <w:rFonts w:ascii="Inter" w:cs="Inter" w:eastAsia="Inter" w:hAnsi="Inter"/>
        <w:b w:val="1"/>
        <w:bCs w:val="1"/>
        <w:i w:val="0"/>
        <w:iCs w:val="0"/>
        <w:color w:val="1a237e"/>
        <w:sz w:val="22"/>
        <w:szCs w:val="22"/>
      </w:rPr>
      <w:tcPr>
        <w:shd w:fill="f5f5f5" w:val="clear"/>
        <w:vAlign w:val="cente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