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8F2B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Autospacing="0"/>
        <w:jc w:val="center"/>
        <w:textAlignment w:val="auto"/>
        <w:rPr>
          <w:rFonts w:hint="default" w:ascii="Comic Sans MS" w:hAnsi="Comic Sans MS" w:cs="Comic Sans MS"/>
          <w:sz w:val="32"/>
          <w:szCs w:val="32"/>
        </w:rPr>
      </w:pPr>
      <w:r>
        <w:rPr>
          <w:rFonts w:hint="default" w:ascii="Comic Sans MS" w:hAnsi="Comic Sans MS" w:cs="Comic Sans MS"/>
          <w:sz w:val="32"/>
          <w:szCs w:val="32"/>
        </w:rPr>
        <w:t>Sesión: “Mi alcancía crece poquito a poquito”</w:t>
      </w:r>
    </w:p>
    <w:p w14:paraId="1F64A30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Autospacing="0"/>
        <w:jc w:val="center"/>
        <w:textAlignment w:val="auto"/>
        <w:rPr>
          <w:rFonts w:hint="default" w:ascii="Comic Sans MS" w:hAnsi="Comic Sans MS" w:cs="Comic Sans MS"/>
          <w:sz w:val="24"/>
          <w:szCs w:val="24"/>
        </w:rPr>
      </w:pPr>
      <w:r>
        <w:rPr>
          <w:rFonts w:hint="default" w:ascii="Comic Sans MS" w:hAnsi="Comic Sans MS" w:cs="Comic Sans MS"/>
          <w:sz w:val="21"/>
          <w:szCs w:val="21"/>
          <w:lang w:val="es-MX"/>
        </w:rPr>
        <w:t>Jueves 25 de junio del 2026</w:t>
      </w:r>
    </w:p>
    <w:tbl>
      <w:tblPr>
        <w:tblStyle w:val="7"/>
        <w:tblpPr w:leftFromText="180" w:rightFromText="180" w:vertAnchor="text" w:horzAnchor="page" w:tblpX="698" w:tblpY="62"/>
        <w:tblOverlap w:val="never"/>
        <w:tblW w:w="10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2506"/>
        <w:gridCol w:w="1747"/>
        <w:gridCol w:w="3543"/>
      </w:tblGrid>
      <w:tr w14:paraId="3B979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0768" w:type="dxa"/>
            <w:gridSpan w:val="4"/>
            <w:shd w:val="clear" w:color="auto" w:fill="C5E0B3"/>
          </w:tcPr>
          <w:p w14:paraId="0F815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right="263"/>
              <w:jc w:val="center"/>
              <w:textAlignment w:val="auto"/>
              <w:rPr>
                <w:rFonts w:hint="default" w:ascii="Comic Sans MS" w:hAnsi="Comic Sans MS" w:eastAsia="Calibri" w:cs="Comic Sans MS"/>
                <w:b/>
                <w:bCs/>
                <w:color w:val="00000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/>
                <w:color w:val="000000"/>
                <w:sz w:val="18"/>
                <w:szCs w:val="18"/>
                <w:lang w:val="es-MX"/>
              </w:rPr>
              <w:t>D</w:t>
            </w:r>
            <w:r>
              <w:rPr>
                <w:rFonts w:hint="default" w:ascii="Comic Sans MS" w:hAnsi="Comic Sans MS" w:eastAsia="Calibri" w:cs="Comic Sans MS"/>
                <w:b/>
                <w:bCs/>
                <w:color w:val="000000"/>
                <w:sz w:val="18"/>
                <w:szCs w:val="18"/>
                <w:lang w:val="es-PE"/>
              </w:rPr>
              <w:t>ATOS INFORMATIVOS</w:t>
            </w:r>
          </w:p>
        </w:tc>
      </w:tr>
      <w:tr w14:paraId="0E0CD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E2EFD9"/>
          </w:tcPr>
          <w:p w14:paraId="1AD21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right="263"/>
              <w:textAlignment w:val="auto"/>
              <w:rPr>
                <w:rFonts w:hint="default" w:ascii="Comic Sans MS" w:hAnsi="Comic Sans MS" w:eastAsia="Calibri" w:cs="Comic Sans MS"/>
                <w:b/>
                <w:bCs/>
                <w:color w:val="00000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/>
                <w:color w:val="000000"/>
                <w:sz w:val="18"/>
                <w:szCs w:val="18"/>
                <w:lang w:val="es-PE"/>
              </w:rPr>
              <w:t>INSTITUCIÓN EDUCATIVA</w:t>
            </w:r>
          </w:p>
        </w:tc>
        <w:tc>
          <w:tcPr>
            <w:tcW w:w="2506" w:type="dxa"/>
          </w:tcPr>
          <w:p w14:paraId="776BE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right="29"/>
              <w:textAlignment w:val="auto"/>
              <w:rPr>
                <w:rFonts w:hint="default" w:ascii="Comic Sans MS" w:hAnsi="Comic Sans MS" w:eastAsia="Calibri" w:cs="Comic Sans MS"/>
                <w:color w:val="00000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color w:val="000000"/>
                <w:sz w:val="18"/>
                <w:szCs w:val="18"/>
                <w:lang w:val="es-PE"/>
              </w:rPr>
              <w:t xml:space="preserve">IE 0097 Patricia Antonia López </w:t>
            </w:r>
          </w:p>
        </w:tc>
        <w:tc>
          <w:tcPr>
            <w:tcW w:w="1747" w:type="dxa"/>
            <w:shd w:val="clear" w:color="auto" w:fill="E2EFD9"/>
          </w:tcPr>
          <w:p w14:paraId="3A22F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right="263"/>
              <w:textAlignment w:val="auto"/>
              <w:rPr>
                <w:rFonts w:hint="default" w:ascii="Comic Sans MS" w:hAnsi="Comic Sans MS" w:eastAsia="Calibri" w:cs="Comic Sans MS"/>
                <w:b/>
                <w:bCs/>
                <w:color w:val="00000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/>
                <w:color w:val="000000"/>
                <w:sz w:val="18"/>
                <w:szCs w:val="18"/>
                <w:lang w:val="es-PE"/>
              </w:rPr>
              <w:t>DOCENTE:</w:t>
            </w:r>
          </w:p>
        </w:tc>
        <w:tc>
          <w:tcPr>
            <w:tcW w:w="3543" w:type="dxa"/>
          </w:tcPr>
          <w:p w14:paraId="03E61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right="263"/>
              <w:textAlignment w:val="auto"/>
              <w:rPr>
                <w:rFonts w:hint="default" w:ascii="Comic Sans MS" w:hAnsi="Comic Sans MS" w:eastAsia="Calibri" w:cs="Comic Sans MS"/>
                <w:color w:val="00000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sz w:val="18"/>
                <w:szCs w:val="18"/>
                <w:lang w:val="es-PE"/>
              </w:rPr>
              <w:t>Lic. Denisse Cuyubamba Zavala</w:t>
            </w:r>
          </w:p>
        </w:tc>
      </w:tr>
      <w:tr w14:paraId="7B217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E2EFD9"/>
          </w:tcPr>
          <w:p w14:paraId="7BF60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right="263"/>
              <w:textAlignment w:val="auto"/>
              <w:rPr>
                <w:rFonts w:hint="default" w:ascii="Comic Sans MS" w:hAnsi="Comic Sans MS" w:eastAsia="Calibri" w:cs="Comic Sans MS"/>
                <w:b/>
                <w:bCs/>
                <w:color w:val="00000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/>
                <w:color w:val="000000"/>
                <w:sz w:val="18"/>
                <w:szCs w:val="18"/>
                <w:lang w:val="es-PE"/>
              </w:rPr>
              <w:t>CICLO/ EDAD / AULA:</w:t>
            </w:r>
          </w:p>
        </w:tc>
        <w:tc>
          <w:tcPr>
            <w:tcW w:w="2506" w:type="dxa"/>
          </w:tcPr>
          <w:p w14:paraId="5C42E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right="263"/>
              <w:textAlignment w:val="auto"/>
              <w:rPr>
                <w:rFonts w:hint="default" w:ascii="Comic Sans MS" w:hAnsi="Comic Sans MS" w:eastAsia="Calibri" w:cs="Comic Sans MS"/>
                <w:color w:val="00000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color w:val="000000"/>
                <w:sz w:val="18"/>
                <w:szCs w:val="18"/>
                <w:lang w:val="es-PE"/>
              </w:rPr>
              <w:t>II / 5 Años / Anaranjado</w:t>
            </w:r>
          </w:p>
        </w:tc>
        <w:tc>
          <w:tcPr>
            <w:tcW w:w="1747" w:type="dxa"/>
            <w:shd w:val="clear" w:color="auto" w:fill="E2EFD9"/>
          </w:tcPr>
          <w:p w14:paraId="699CE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right="39"/>
              <w:textAlignment w:val="auto"/>
              <w:rPr>
                <w:rFonts w:hint="default" w:ascii="Comic Sans MS" w:hAnsi="Comic Sans MS" w:eastAsia="Calibri" w:cs="Comic Sans MS"/>
                <w:b/>
                <w:bCs/>
                <w:color w:val="00000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/>
                <w:color w:val="000000"/>
                <w:sz w:val="18"/>
                <w:szCs w:val="18"/>
                <w:lang w:val="es-PE"/>
              </w:rPr>
              <w:t xml:space="preserve">PROYECTO DE APRENDIZAJE </w:t>
            </w:r>
          </w:p>
        </w:tc>
        <w:tc>
          <w:tcPr>
            <w:tcW w:w="3543" w:type="dxa"/>
          </w:tcPr>
          <w:p w14:paraId="5A76C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="0" w:afterAutospacing="0" w:line="240" w:lineRule="auto"/>
              <w:ind w:right="263"/>
              <w:textAlignment w:val="auto"/>
              <w:rPr>
                <w:rFonts w:hint="default" w:ascii="Comic Sans MS" w:hAnsi="Comic Sans MS" w:eastAsia="Calibri" w:cs="Comic Sans MS"/>
                <w:color w:val="00000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color w:val="000000"/>
                <w:sz w:val="18"/>
                <w:szCs w:val="18"/>
                <w:lang w:val="es-PE"/>
              </w:rPr>
              <w:t>“¡Celebramos, Jugamos Y Descubrimos Juntos!”</w:t>
            </w:r>
          </w:p>
        </w:tc>
      </w:tr>
    </w:tbl>
    <w:p w14:paraId="0F9A269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textAlignment w:val="auto"/>
        <w:rPr>
          <w:rStyle w:val="5"/>
          <w:rFonts w:hint="default" w:ascii="Comic Sans MS" w:hAnsi="Comic Sans MS" w:cs="Comic Sans MS"/>
          <w:sz w:val="18"/>
          <w:szCs w:val="18"/>
        </w:rPr>
      </w:pPr>
    </w:p>
    <w:tbl>
      <w:tblPr>
        <w:tblStyle w:val="7"/>
        <w:tblW w:w="11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2389"/>
        <w:gridCol w:w="2310"/>
        <w:gridCol w:w="849"/>
        <w:gridCol w:w="2931"/>
        <w:gridCol w:w="1701"/>
      </w:tblGrid>
      <w:tr w14:paraId="52D61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  <w:jc w:val="center"/>
        </w:trPr>
        <w:tc>
          <w:tcPr>
            <w:tcW w:w="877" w:type="dxa"/>
            <w:shd w:val="clear" w:color="auto" w:fill="FBE4D5"/>
            <w:vAlign w:val="center"/>
          </w:tcPr>
          <w:p w14:paraId="58217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  <w:t>ÁREA</w:t>
            </w:r>
          </w:p>
        </w:tc>
        <w:tc>
          <w:tcPr>
            <w:tcW w:w="2389" w:type="dxa"/>
            <w:shd w:val="clear" w:color="auto" w:fill="FBE4D5"/>
            <w:vAlign w:val="center"/>
          </w:tcPr>
          <w:p w14:paraId="5E2D4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  <w:t>COMPETENCIA</w:t>
            </w:r>
          </w:p>
        </w:tc>
        <w:tc>
          <w:tcPr>
            <w:tcW w:w="3159" w:type="dxa"/>
            <w:gridSpan w:val="2"/>
            <w:shd w:val="clear" w:color="auto" w:fill="FBE4D5"/>
            <w:vAlign w:val="center"/>
          </w:tcPr>
          <w:p w14:paraId="24083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  <w:t>CAPACIDAD</w:t>
            </w:r>
          </w:p>
        </w:tc>
        <w:tc>
          <w:tcPr>
            <w:tcW w:w="4632" w:type="dxa"/>
            <w:gridSpan w:val="2"/>
            <w:shd w:val="clear" w:color="auto" w:fill="FBE4D5"/>
            <w:vAlign w:val="center"/>
          </w:tcPr>
          <w:p w14:paraId="767E7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  <w:t>DESEMPEÑO</w:t>
            </w:r>
          </w:p>
        </w:tc>
      </w:tr>
      <w:tr w14:paraId="3A96C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77" w:type="dxa"/>
          </w:tcPr>
          <w:p w14:paraId="03D8CD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textAlignment w:val="auto"/>
              <w:rPr>
                <w:rFonts w:hint="default" w:ascii="Comic Sans MS" w:hAnsi="Comic Sans MS" w:eastAsia="Calibri" w:cs="Comic Sans MS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Personal Social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br w:type="textWrapping"/>
            </w:r>
          </w:p>
        </w:tc>
        <w:tc>
          <w:tcPr>
            <w:tcW w:w="2389" w:type="dxa"/>
          </w:tcPr>
          <w:p w14:paraId="59A02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textAlignment w:val="auto"/>
              <w:rPr>
                <w:rFonts w:hint="default" w:ascii="Comic Sans MS" w:hAnsi="Comic Sans MS" w:eastAsia="Calibri" w:cs="Comic Sans MS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Convive y participa democráticamente en la búsqueda del bien común.</w:t>
            </w:r>
          </w:p>
        </w:tc>
        <w:tc>
          <w:tcPr>
            <w:tcW w:w="3159" w:type="dxa"/>
            <w:gridSpan w:val="2"/>
          </w:tcPr>
          <w:p w14:paraId="706ECD4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eastAsia="Times New Roman" w:cs="Comic Sans MS"/>
                <w:sz w:val="18"/>
                <w:szCs w:val="18"/>
                <w:lang w:val="es-MX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Interactúa con todas las personas. / Participa en acciones que promueven el bienestar común</w:t>
            </w:r>
            <w:r>
              <w:rPr>
                <w:rFonts w:hint="default" w:ascii="Comic Sans MS" w:hAnsi="Comic Sans MS" w:cs="Comic Sans MS"/>
                <w:sz w:val="18"/>
                <w:szCs w:val="18"/>
                <w:lang w:val="es-MX"/>
              </w:rPr>
              <w:t>.</w:t>
            </w:r>
          </w:p>
        </w:tc>
        <w:tc>
          <w:tcPr>
            <w:tcW w:w="4632" w:type="dxa"/>
            <w:gridSpan w:val="2"/>
          </w:tcPr>
          <w:p w14:paraId="6190111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eastAsia="Calibri" w:cs="Comic Sans MS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Participa en actividades grupales relacionadas con el ahorro, respetando acuerdos y expresando sus ideas sobre el uso responsable del dinero.</w:t>
            </w:r>
          </w:p>
        </w:tc>
      </w:tr>
      <w:tr w14:paraId="3A172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5576" w:type="dxa"/>
            <w:gridSpan w:val="3"/>
            <w:shd w:val="clear" w:color="auto" w:fill="BDD6EE"/>
            <w:vAlign w:val="center"/>
          </w:tcPr>
          <w:p w14:paraId="2526E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  <w:t>CRITERIO</w:t>
            </w:r>
          </w:p>
        </w:tc>
        <w:tc>
          <w:tcPr>
            <w:tcW w:w="3780" w:type="dxa"/>
            <w:gridSpan w:val="2"/>
            <w:shd w:val="clear" w:color="auto" w:fill="BDD6EE"/>
            <w:vAlign w:val="center"/>
          </w:tcPr>
          <w:p w14:paraId="0F071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  <w:t>EVIDENCIA</w:t>
            </w:r>
          </w:p>
        </w:tc>
        <w:tc>
          <w:tcPr>
            <w:tcW w:w="1701" w:type="dxa"/>
            <w:shd w:val="clear" w:color="auto" w:fill="BDD6EE"/>
            <w:vAlign w:val="center"/>
          </w:tcPr>
          <w:p w14:paraId="5F400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 w:val="0"/>
                <w:sz w:val="18"/>
                <w:szCs w:val="18"/>
                <w:lang w:val="es-PE"/>
              </w:rPr>
              <w:t>INSTRUMENTO</w:t>
            </w:r>
          </w:p>
        </w:tc>
      </w:tr>
      <w:tr w14:paraId="64263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576" w:type="dxa"/>
            <w:gridSpan w:val="3"/>
            <w:shd w:val="clear" w:color="auto" w:fill="auto"/>
          </w:tcPr>
          <w:p w14:paraId="4CB4246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eastAsia="Calibri" w:cs="Comic Sans MS"/>
                <w:color w:val="7030A0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Explica con sus propias palabras qué significa ahorrar y reconoce que guardar pequeñas cantidades de dinero permite alcanzar una meta.</w:t>
            </w:r>
          </w:p>
        </w:tc>
        <w:tc>
          <w:tcPr>
            <w:tcW w:w="3780" w:type="dxa"/>
            <w:gridSpan w:val="2"/>
            <w:shd w:val="clear" w:color="auto" w:fill="auto"/>
          </w:tcPr>
          <w:p w14:paraId="51CB9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textAlignment w:val="auto"/>
              <w:rPr>
                <w:rFonts w:hint="default" w:ascii="Comic Sans MS" w:hAnsi="Comic Sans MS" w:eastAsia="Calibri" w:cs="Comic Sans MS"/>
                <w:sz w:val="18"/>
                <w:szCs w:val="18"/>
                <w:lang w:val="es-PE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Expresa oralmente qué hace cuando ahorra y para qué desea utilizar sus ahorros.</w:t>
            </w:r>
          </w:p>
        </w:tc>
        <w:tc>
          <w:tcPr>
            <w:tcW w:w="1701" w:type="dxa"/>
          </w:tcPr>
          <w:p w14:paraId="12572CD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ind w:left="171" w:hanging="171"/>
              <w:contextualSpacing/>
              <w:textAlignment w:val="auto"/>
              <w:rPr>
                <w:rFonts w:hint="default" w:ascii="Comic Sans MS" w:hAnsi="Comic Sans MS" w:eastAsia="Calibri" w:cs="Comic Sans MS"/>
                <w:kern w:val="2"/>
                <w:sz w:val="18"/>
                <w:szCs w:val="18"/>
                <w:lang w:val="es-PE"/>
                <w14:ligatures w14:val="standardContextual"/>
              </w:rPr>
            </w:pPr>
            <w:r>
              <w:rPr>
                <w:rFonts w:hint="default" w:ascii="Comic Sans MS" w:hAnsi="Comic Sans MS" w:eastAsia="Calibri" w:cs="Comic Sans MS"/>
                <w:kern w:val="2"/>
                <w:sz w:val="18"/>
                <w:szCs w:val="18"/>
                <w:lang w:val="es-PE"/>
                <w14:ligatures w14:val="standardContextual"/>
              </w:rPr>
              <w:t xml:space="preserve">Ficha de observación </w:t>
            </w:r>
          </w:p>
        </w:tc>
      </w:tr>
    </w:tbl>
    <w:p w14:paraId="6D3C9D3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textAlignment w:val="auto"/>
        <w:rPr>
          <w:rStyle w:val="5"/>
          <w:rFonts w:hint="default" w:ascii="Comic Sans MS" w:hAnsi="Comic Sans MS" w:cs="Comic Sans MS"/>
          <w:sz w:val="18"/>
          <w:szCs w:val="18"/>
        </w:rPr>
      </w:pPr>
    </w:p>
    <w:tbl>
      <w:tblPr>
        <w:tblStyle w:val="7"/>
        <w:tblW w:w="10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8973"/>
        <w:gridCol w:w="1337"/>
      </w:tblGrid>
      <w:tr w14:paraId="7F8A0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08" w:type="dxa"/>
            <w:shd w:val="clear" w:color="auto" w:fill="auto"/>
          </w:tcPr>
          <w:p w14:paraId="2B4019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Comic Sans MS" w:hAnsi="Comic Sans MS" w:eastAsia="Calibri" w:cs="Comic Sans MS"/>
                <w:b/>
                <w:bCs w:val="0"/>
                <w:sz w:val="15"/>
                <w:szCs w:val="15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 w:val="0"/>
                <w:sz w:val="15"/>
                <w:szCs w:val="15"/>
                <w:lang w:val="es-PE"/>
              </w:rPr>
              <w:t>MOMENTOS</w:t>
            </w:r>
          </w:p>
        </w:tc>
        <w:tc>
          <w:tcPr>
            <w:tcW w:w="8973" w:type="dxa"/>
            <w:shd w:val="clear" w:color="auto" w:fill="auto"/>
          </w:tcPr>
          <w:p w14:paraId="71829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Comic Sans MS" w:hAnsi="Comic Sans MS" w:eastAsia="Calibri" w:cs="Comic Sans MS"/>
                <w:b/>
                <w:bCs w:val="0"/>
                <w:sz w:val="15"/>
                <w:szCs w:val="15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 w:val="0"/>
                <w:sz w:val="15"/>
                <w:szCs w:val="15"/>
                <w:lang w:val="es-PE"/>
              </w:rPr>
              <w:t>SECUENCIA DIDÁCTICA</w:t>
            </w:r>
          </w:p>
        </w:tc>
        <w:tc>
          <w:tcPr>
            <w:tcW w:w="1337" w:type="dxa"/>
            <w:shd w:val="clear" w:color="auto" w:fill="auto"/>
          </w:tcPr>
          <w:p w14:paraId="6AD56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Comic Sans MS" w:hAnsi="Comic Sans MS" w:eastAsia="Calibri" w:cs="Comic Sans MS"/>
                <w:b/>
                <w:bCs w:val="0"/>
                <w:sz w:val="15"/>
                <w:szCs w:val="15"/>
                <w:lang w:val="es-PE"/>
              </w:rPr>
            </w:pPr>
            <w:r>
              <w:rPr>
                <w:rFonts w:hint="default" w:ascii="Comic Sans MS" w:hAnsi="Comic Sans MS" w:eastAsia="Calibri" w:cs="Comic Sans MS"/>
                <w:b/>
                <w:bCs w:val="0"/>
                <w:sz w:val="15"/>
                <w:szCs w:val="15"/>
                <w:lang w:val="es-PE"/>
              </w:rPr>
              <w:t>RECURSOS Y/O MATERIALES</w:t>
            </w:r>
          </w:p>
        </w:tc>
      </w:tr>
      <w:tr w14:paraId="7CE5C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608" w:type="dxa"/>
            <w:textDirection w:val="btLr"/>
          </w:tcPr>
          <w:p w14:paraId="527ED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ind w:left="113" w:right="113"/>
              <w:textAlignment w:val="auto"/>
              <w:rPr>
                <w:rFonts w:hint="default" w:ascii="Comic Sans MS" w:hAnsi="Comic Sans MS" w:eastAsia="Calibri" w:cs="Comic Sans MS"/>
                <w:sz w:val="16"/>
                <w:szCs w:val="16"/>
                <w:lang w:val="es-MX"/>
              </w:rPr>
            </w:pPr>
            <w:r>
              <w:rPr>
                <w:rFonts w:hint="default" w:ascii="Comic Sans MS" w:hAnsi="Comic Sans MS" w:eastAsia="Calibri" w:cs="Comic Sans MS"/>
                <w:sz w:val="16"/>
                <w:szCs w:val="16"/>
                <w:lang w:val="es-MX"/>
              </w:rPr>
              <w:t xml:space="preserve">INICIO </w:t>
            </w:r>
          </w:p>
        </w:tc>
        <w:tc>
          <w:tcPr>
            <w:tcW w:w="8973" w:type="dxa"/>
          </w:tcPr>
          <w:p w14:paraId="7A4BA34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La profesora reúne a los niños y muestra una alcancía. Les pregunta:</w:t>
            </w:r>
            <w:r>
              <w:rPr>
                <w:rFonts w:hint="default" w:ascii="Comic Sans MS" w:hAnsi="Comic Sans MS" w:cs="Comic Sans MS"/>
                <w:sz w:val="18"/>
                <w:szCs w:val="18"/>
                <w:lang w:val="es-MX"/>
              </w:rPr>
              <w:t xml:space="preserve"> 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>¿Qué tenemos aquí?</w:t>
            </w:r>
            <w:r>
              <w:rPr>
                <w:rFonts w:hint="default" w:ascii="Comic Sans MS" w:hAnsi="Comic Sans MS" w:cs="Comic Sans MS"/>
                <w:sz w:val="18"/>
                <w:szCs w:val="18"/>
                <w:lang w:val="es-MX"/>
              </w:rPr>
              <w:t xml:space="preserve"> 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>¿Para qué sirve nuestra alcancía?</w:t>
            </w:r>
            <w:r>
              <w:rPr>
                <w:rFonts w:hint="default" w:ascii="Comic Sans MS" w:hAnsi="Comic Sans MS" w:cs="Comic Sans MS"/>
                <w:sz w:val="18"/>
                <w:szCs w:val="18"/>
                <w:lang w:val="es-MX"/>
              </w:rPr>
              <w:t xml:space="preserve"> 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>¿Qué hacemos todos los días cuando vamos a la Dirección?</w:t>
            </w:r>
          </w:p>
          <w:p w14:paraId="04B2E91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Luego, la profesora recuerda que las alcancías se encuentran guardadas en la Dirección y que cada día los niños se acercan para colocar sus ahorros.</w:t>
            </w:r>
          </w:p>
          <w:p w14:paraId="2452A8D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La profesora comunica el propósito con palabras sencillas:</w:t>
            </w:r>
          </w:p>
          <w:p w14:paraId="7571B75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“Hoy vamos a recordar cómo ahorramos poquito a poquito y para qué nos sirve nuestro ahorro.”</w:t>
            </w:r>
          </w:p>
          <w:p w14:paraId="078641A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eastAsia="Calibri" w:cs="Comic Sans MS"/>
                <w:kern w:val="2"/>
                <w:sz w:val="18"/>
                <w:szCs w:val="18"/>
                <w:lang w:val="es-PE"/>
                <w14:ligatures w14:val="standardContextual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 xml:space="preserve">La profesora recuerda las normas: </w:t>
            </w: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esperar el turno, cuidar las monedas y escuchar cuando un compañero habla.</w:t>
            </w:r>
          </w:p>
        </w:tc>
        <w:tc>
          <w:tcPr>
            <w:tcW w:w="1337" w:type="dxa"/>
            <w:vMerge w:val="restart"/>
            <w:vAlign w:val="center"/>
          </w:tcPr>
          <w:p w14:paraId="039E534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Comic Sans MS" w:hAnsi="Comic Sans MS" w:eastAsia="Calibri" w:cs="Comic Sans MS"/>
                <w:sz w:val="18"/>
                <w:szCs w:val="18"/>
                <w:lang w:val="es-MX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Alcancía del aula o fotografías de las alcancías, monedas, imagen de una meta (por ejemplo, el paseo al parque).</w:t>
            </w:r>
          </w:p>
        </w:tc>
      </w:tr>
      <w:tr w14:paraId="52943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8" w:type="dxa"/>
            <w:textDirection w:val="btLr"/>
          </w:tcPr>
          <w:p w14:paraId="5092D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ind w:left="113" w:right="113"/>
              <w:textAlignment w:val="auto"/>
              <w:rPr>
                <w:rFonts w:hint="default" w:ascii="Comic Sans MS" w:hAnsi="Comic Sans MS" w:eastAsia="Calibri" w:cs="Comic Sans MS"/>
                <w:color w:val="FF0000"/>
                <w:sz w:val="16"/>
                <w:szCs w:val="16"/>
                <w:lang w:val="es-PE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DESARROLLO</w:t>
            </w:r>
          </w:p>
        </w:tc>
        <w:tc>
          <w:tcPr>
            <w:tcW w:w="8973" w:type="dxa"/>
          </w:tcPr>
          <w:p w14:paraId="6071311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La profesora coloca algunas monedas frente a los niños y plantea una situación:</w:t>
            </w:r>
          </w:p>
          <w:p w14:paraId="1104761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“Si hoy guardamos una moneda y mañana guardamos otra, ¿qué pasará con nuestro ahorro?”</w:t>
            </w:r>
          </w:p>
          <w:p w14:paraId="03F71B4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Los niños observan y responden.</w:t>
            </w:r>
          </w:p>
          <w:p w14:paraId="617956B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La profesora explica brevemente:</w:t>
            </w:r>
          </w:p>
          <w:p w14:paraId="31B5C1D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“Ahorrar significa guardar un poquito de nuestro dinero en vez de gastarlo todo. Cuando guardamos poquito a poquito, nuestro ahorro puede crecer y podemos alcanzar una meta.”</w:t>
            </w:r>
          </w:p>
          <w:p w14:paraId="3CB2BF7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Después pregunta:</w:t>
            </w:r>
            <w:r>
              <w:rPr>
                <w:rFonts w:hint="default" w:ascii="Comic Sans MS" w:hAnsi="Comic Sans MS" w:cs="Comic Sans MS"/>
                <w:sz w:val="18"/>
                <w:szCs w:val="18"/>
                <w:lang w:val="es-MX"/>
              </w:rPr>
              <w:t xml:space="preserve"> 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>¿Dónde guardamos nuestros ahorros?</w:t>
            </w:r>
            <w:r>
              <w:rPr>
                <w:rFonts w:hint="default" w:ascii="Comic Sans MS" w:hAnsi="Comic Sans MS" w:cs="Comic Sans MS"/>
                <w:sz w:val="18"/>
                <w:szCs w:val="18"/>
                <w:lang w:val="es-MX"/>
              </w:rPr>
              <w:t xml:space="preserve"> 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>¿Quién nos acompaña cuando vamos a ahorrar?</w:t>
            </w:r>
            <w:r>
              <w:rPr>
                <w:rFonts w:hint="default" w:ascii="Comic Sans MS" w:hAnsi="Comic Sans MS" w:cs="Comic Sans MS"/>
                <w:sz w:val="18"/>
                <w:szCs w:val="18"/>
                <w:lang w:val="es-MX"/>
              </w:rPr>
              <w:t xml:space="preserve"> 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>¿Qué hacemos antes de colocar nuestra moneda?</w:t>
            </w:r>
            <w:r>
              <w:rPr>
                <w:rFonts w:hint="default" w:ascii="Comic Sans MS" w:hAnsi="Comic Sans MS" w:cs="Comic Sans MS"/>
                <w:sz w:val="18"/>
                <w:szCs w:val="18"/>
                <w:lang w:val="es-MX"/>
              </w:rPr>
              <w:t xml:space="preserve"> 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>¿Qué pasaría si todos los días guardamos un poquito?</w:t>
            </w:r>
          </w:p>
          <w:p w14:paraId="6314522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 xml:space="preserve">La profesora muestra la imagen del </w:t>
            </w: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paseo al parque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 xml:space="preserve"> y pregunta:</w:t>
            </w:r>
            <w:r>
              <w:rPr>
                <w:rFonts w:hint="default" w:ascii="Comic Sans MS" w:hAnsi="Comic Sans MS" w:cs="Comic Sans MS"/>
                <w:sz w:val="18"/>
                <w:szCs w:val="18"/>
                <w:lang w:val="es-MX"/>
              </w:rPr>
              <w:t xml:space="preserve"> 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>¿Para qué estamos aprendiendo a ahorrar?</w:t>
            </w:r>
          </w:p>
          <w:p w14:paraId="322F2E2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Los niños expresan sus ideas. La profesora relaciona sus respuestas con la experiencia que tendrán:</w:t>
            </w:r>
          </w:p>
          <w:p w14:paraId="168AF8D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“Estamos ap</w:t>
            </w:r>
            <w:bookmarkStart w:id="0" w:name="_GoBack"/>
            <w:bookmarkEnd w:id="0"/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rendiendo que podemos ahorrar para una meta y también podemos disfrutar responsablemente aquello que hemos logrado con nuestro esfuerzo.”</w:t>
            </w:r>
          </w:p>
          <w:p w14:paraId="76F9771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eastAsia="Calibri" w:cs="Comic Sans MS"/>
                <w:kern w:val="2"/>
                <w:sz w:val="18"/>
                <w:szCs w:val="18"/>
                <w:lang w:val="es-MX"/>
                <w14:ligatures w14:val="standardContextual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 xml:space="preserve">Finalmente, algunos niños pasan voluntariamente a realizar de manera simbólica el gesto de </w:t>
            </w: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guardar una moneda en la alcancía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>, respetando su turno.</w:t>
            </w:r>
          </w:p>
        </w:tc>
        <w:tc>
          <w:tcPr>
            <w:tcW w:w="1337" w:type="dxa"/>
            <w:vMerge w:val="continue"/>
            <w:tcBorders/>
          </w:tcPr>
          <w:p w14:paraId="43B9502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Comic Sans MS" w:hAnsi="Comic Sans MS" w:eastAsia="Calibri" w:cs="Comic Sans MS"/>
                <w:sz w:val="18"/>
                <w:szCs w:val="18"/>
                <w:lang w:val="es-MX"/>
              </w:rPr>
            </w:pPr>
          </w:p>
        </w:tc>
      </w:tr>
      <w:tr w14:paraId="1ED01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8" w:type="dxa"/>
            <w:textDirection w:val="btLr"/>
          </w:tcPr>
          <w:p w14:paraId="42310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ind w:left="113" w:right="113"/>
              <w:textAlignment w:val="auto"/>
              <w:rPr>
                <w:rFonts w:hint="default" w:ascii="Comic Sans MS" w:hAnsi="Comic Sans MS" w:eastAsia="Calibri" w:cs="Comic Sans MS"/>
                <w:sz w:val="16"/>
                <w:szCs w:val="16"/>
                <w:lang w:val="es-PE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CIERRE</w:t>
            </w:r>
          </w:p>
        </w:tc>
        <w:tc>
          <w:tcPr>
            <w:tcW w:w="8973" w:type="dxa"/>
          </w:tcPr>
          <w:p w14:paraId="57070D2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La profesora reúne nuevamente a los niños y realiza preguntas de retroalimentación:</w:t>
            </w:r>
            <w:r>
              <w:rPr>
                <w:rFonts w:hint="default" w:ascii="Comic Sans MS" w:hAnsi="Comic Sans MS" w:cs="Comic Sans MS"/>
                <w:sz w:val="18"/>
                <w:szCs w:val="18"/>
                <w:lang w:val="es-MX"/>
              </w:rPr>
              <w:t xml:space="preserve"> </w:t>
            </w: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¿Qué aprendimos hoy sobre ahorrar?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 xml:space="preserve"> </w:t>
            </w: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¿Dónde guardamos nuestro dinero?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 xml:space="preserve"> </w:t>
            </w: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¿Por qué guardamos un poquito cada día?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 xml:space="preserve"> </w:t>
            </w: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¿Qué podemos lograr cuando ahorramos poquito a poquito?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 xml:space="preserve"> </w:t>
            </w: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¿Cómo nos sentimos cuando vemos que nuestro ahorro crece?</w:t>
            </w:r>
            <w:r>
              <w:rPr>
                <w:rFonts w:hint="default" w:ascii="Comic Sans MS" w:hAnsi="Comic Sans MS" w:cs="Comic Sans MS"/>
                <w:sz w:val="18"/>
                <w:szCs w:val="18"/>
              </w:rPr>
              <w:t xml:space="preserve"> </w:t>
            </w:r>
          </w:p>
          <w:p w14:paraId="670B7D6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cs="Comic Sans MS"/>
                <w:sz w:val="18"/>
                <w:szCs w:val="18"/>
              </w:rPr>
            </w:pPr>
            <w:r>
              <w:rPr>
                <w:rFonts w:hint="default" w:ascii="Comic Sans MS" w:hAnsi="Comic Sans MS" w:cs="Comic Sans MS"/>
                <w:sz w:val="18"/>
                <w:szCs w:val="18"/>
              </w:rPr>
              <w:t>La profesora cierra diciendo:</w:t>
            </w:r>
          </w:p>
          <w:p w14:paraId="28CDA91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Comic Sans MS" w:hAnsi="Comic Sans MS" w:eastAsia="Calibri" w:cs="Comic Sans MS"/>
                <w:kern w:val="2"/>
                <w:sz w:val="18"/>
                <w:szCs w:val="18"/>
                <w:lang w:val="es-PE"/>
                <w14:ligatures w14:val="standardContextual"/>
              </w:rPr>
            </w:pPr>
            <w:r>
              <w:rPr>
                <w:rStyle w:val="5"/>
                <w:rFonts w:hint="default" w:ascii="Comic Sans MS" w:hAnsi="Comic Sans MS" w:cs="Comic Sans MS"/>
                <w:sz w:val="18"/>
                <w:szCs w:val="18"/>
              </w:rPr>
              <w:t>“Hoy descubrimos que ahorrar es guardar poquito a poquito para alcanzar una meta. Cada pequeño ahorro cuenta.”</w:t>
            </w:r>
          </w:p>
        </w:tc>
        <w:tc>
          <w:tcPr>
            <w:tcW w:w="1337" w:type="dxa"/>
            <w:vMerge w:val="continue"/>
            <w:tcBorders/>
          </w:tcPr>
          <w:p w14:paraId="3FFBBB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Autospacing="0" w:after="0" w:afterAutospacing="0" w:line="240" w:lineRule="auto"/>
              <w:textAlignment w:val="auto"/>
              <w:rPr>
                <w:rFonts w:hint="default" w:ascii="Comic Sans MS" w:hAnsi="Comic Sans MS" w:eastAsia="Calibri" w:cs="Comic Sans MS"/>
                <w:sz w:val="18"/>
                <w:szCs w:val="18"/>
                <w:lang w:val="es-PE"/>
              </w:rPr>
            </w:pPr>
          </w:p>
        </w:tc>
      </w:tr>
    </w:tbl>
    <w:p w14:paraId="79DB7DF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textAlignment w:val="auto"/>
        <w:rPr>
          <w:rStyle w:val="5"/>
          <w:rFonts w:hint="default" w:ascii="Comic Sans MS" w:hAnsi="Comic Sans MS" w:cs="Comic Sans MS"/>
          <w:sz w:val="18"/>
          <w:szCs w:val="18"/>
        </w:rPr>
      </w:pPr>
    </w:p>
    <w:p w14:paraId="74370EB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textAlignment w:val="auto"/>
        <w:rPr>
          <w:rStyle w:val="5"/>
          <w:rFonts w:hint="default" w:ascii="Comic Sans MS" w:hAnsi="Comic Sans MS" w:cs="Comic Sans MS"/>
          <w:sz w:val="18"/>
          <w:szCs w:val="18"/>
        </w:rPr>
      </w:pPr>
    </w:p>
    <w:p w14:paraId="0784B09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Autospacing="0"/>
        <w:textAlignment w:val="auto"/>
        <w:rPr>
          <w:rFonts w:hint="default" w:ascii="Comic Sans MS" w:hAnsi="Comic Sans MS" w:cs="Comic Sans MS"/>
          <w:sz w:val="18"/>
          <w:szCs w:val="1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Yu Mincho Light">
    <w:altName w:val="Yu Gothic"/>
    <w:panose1 w:val="00000000000000000000"/>
    <w:charset w:val="80"/>
    <w:family w:val="roman"/>
    <w:pitch w:val="default"/>
    <w:sig w:usb0="00000000" w:usb1="00000000" w:usb2="00000012" w:usb3="00000000" w:csb0="0002009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A95842"/>
    <w:multiLevelType w:val="multilevel"/>
    <w:tmpl w:val="5DA9584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97229B"/>
    <w:rsid w:val="1BA36B65"/>
    <w:rsid w:val="4034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table" w:customStyle="1" w:styleId="7">
    <w:name w:val="Tabla con cuadrícula1"/>
    <w:basedOn w:val="4"/>
    <w:qFormat/>
    <w:uiPriority w:val="39"/>
    <w:pPr>
      <w:spacing w:after="0" w:line="240" w:lineRule="auto"/>
    </w:pPr>
    <w:rPr>
      <w:lang w:val="es-P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2026-08-31T13:29:39Z</dcterms:created>
  <dc:creator>dcuyu</dc:creator>
  <cp:lastModifiedBy>Denisse Cuyubamba Zavala</cp:lastModifiedBy>
  <dcterms:modified xsi:type="dcterms:W3CDTF">2026-08-31T13:47:49Z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2058-12.1.0.28032</vt:lpwstr>
  </property>
  <property fmtid="{D5CDD505-2E9C-101B-9397-08002B2CF9AE}" pid="3" name="KSOTemplateDocerSaveRecord">
    <vt:lpwstr>eyJoZGlkIjoiODYxODY0NmZkMzgwNmNiM2FkODkzZmNmYjg3OWZkNzAiLCJ1c2VySWQiOiIyNDkxODM3NTk4Mzk5In0=</vt:lpwstr>
  </property>
  <property fmtid="{D5CDD505-2E9C-101B-9397-08002B2CF9AE}" pid="4" name="ICV">
    <vt:lpwstr>2487D18BA4624203B14F327885B2B960_12</vt:lpwstr>
  </property>
</Properties>
</file>