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EE3D4" w14:textId="77777777" w:rsidR="003D0B8D" w:rsidRDefault="00000000">
      <w:pPr>
        <w:pStyle w:val="Ttulo1"/>
        <w:spacing w:before="0" w:after="0"/>
      </w:pPr>
      <w:r>
        <w:t>UNIDAD DE APRENDIZAJE N° 3</w:t>
      </w:r>
    </w:p>
    <w:p w14:paraId="1EC7285D" w14:textId="77777777" w:rsidR="003D0B8D" w:rsidRDefault="00000000">
      <w:pPr>
        <w:pBdr>
          <w:top w:val="nil"/>
          <w:left w:val="nil"/>
          <w:bottom w:val="nil"/>
          <w:right w:val="nil"/>
          <w:between w:val="nil"/>
        </w:pBdr>
        <w:spacing w:before="240" w:after="375"/>
        <w:jc w:val="center"/>
      </w:pPr>
      <w:r>
        <w:t>EL ROL DE LOS AGENTES ECONÓMICOS Y LAS RESPONSABILIDADES CIUDADANAS</w:t>
      </w:r>
    </w:p>
    <w:p w14:paraId="59644449" w14:textId="77777777" w:rsidR="003D0B8D" w:rsidRDefault="00000000">
      <w:pPr>
        <w:pStyle w:val="Ttulo2"/>
        <w:spacing w:before="0"/>
      </w:pPr>
      <w:r>
        <w:t>I. INFORMACIÓN GENERAL</w:t>
      </w:r>
    </w:p>
    <w:p w14:paraId="769C8FD0" w14:textId="77777777" w:rsidR="003D0B8D" w:rsidRDefault="00000000">
      <w:pPr>
        <w:pBdr>
          <w:top w:val="nil"/>
          <w:left w:val="nil"/>
          <w:bottom w:val="nil"/>
          <w:right w:val="nil"/>
          <w:between w:val="nil"/>
        </w:pBdr>
        <w:spacing w:line="276" w:lineRule="auto"/>
      </w:pPr>
      <w:r>
        <w:pict w14:anchorId="236EA057">
          <v:rect id="_x0000_i1025" style="width:0;height:1.5pt" o:hralign="center" o:hrstd="t" o:hr="t" fillcolor="#a0a0a0" stroked="f"/>
        </w:pict>
      </w:r>
    </w:p>
    <w:tbl>
      <w:tblPr>
        <w:tblStyle w:val="a"/>
        <w:tblW w:w="9360" w:type="dxa"/>
        <w:tblInd w:w="0" w:type="dxa"/>
        <w:tblBorders>
          <w:top w:val="single" w:sz="6" w:space="0" w:color="CBD5E0"/>
          <w:left w:val="single" w:sz="6" w:space="0" w:color="CBD5E0"/>
          <w:bottom w:val="single" w:sz="6" w:space="0" w:color="CBD5E0"/>
          <w:right w:val="single" w:sz="6" w:space="0" w:color="CBD5E0"/>
          <w:insideH w:val="single" w:sz="6" w:space="0" w:color="CBD5E0"/>
          <w:insideV w:val="single" w:sz="6" w:space="0" w:color="CBD5E0"/>
        </w:tblBorders>
        <w:tblLayout w:type="fixed"/>
        <w:tblLook w:val="0600" w:firstRow="0" w:lastRow="0" w:firstColumn="0" w:lastColumn="0" w:noHBand="1" w:noVBand="1"/>
      </w:tblPr>
      <w:tblGrid>
        <w:gridCol w:w="2340"/>
        <w:gridCol w:w="2340"/>
        <w:gridCol w:w="2340"/>
        <w:gridCol w:w="2340"/>
      </w:tblGrid>
      <w:tr w:rsidR="003D0B8D" w14:paraId="2E38FF58" w14:textId="77777777">
        <w:tc>
          <w:tcPr>
            <w:tcW w:w="2340" w:type="dxa"/>
            <w:tcBorders>
              <w:top w:val="single" w:sz="6" w:space="0" w:color="CBD5E0"/>
              <w:left w:val="single" w:sz="6" w:space="0" w:color="CBD5E0"/>
              <w:bottom w:val="single" w:sz="6" w:space="0" w:color="CBD5E0"/>
              <w:right w:val="single" w:sz="6" w:space="0" w:color="CBD5E0"/>
            </w:tcBorders>
            <w:shd w:val="clear" w:color="auto" w:fill="EBF8FF"/>
            <w:tcMar>
              <w:top w:w="120" w:type="dxa"/>
              <w:left w:w="150" w:type="dxa"/>
              <w:bottom w:w="120" w:type="dxa"/>
              <w:right w:w="150" w:type="dxa"/>
            </w:tcMar>
          </w:tcPr>
          <w:p w14:paraId="6F4622F5" w14:textId="77777777" w:rsidR="003D0B8D" w:rsidRDefault="00000000">
            <w:pPr>
              <w:pBdr>
                <w:top w:val="nil"/>
                <w:left w:val="nil"/>
                <w:bottom w:val="nil"/>
                <w:right w:val="nil"/>
                <w:between w:val="nil"/>
              </w:pBdr>
              <w:spacing w:before="120" w:after="120"/>
              <w:rPr>
                <w:b/>
                <w:bCs/>
                <w:color w:val="2B6CB0"/>
                <w:sz w:val="20"/>
                <w:szCs w:val="20"/>
              </w:rPr>
            </w:pPr>
            <w:r>
              <w:rPr>
                <w:b/>
                <w:bCs/>
                <w:color w:val="2B6CB0"/>
                <w:sz w:val="20"/>
                <w:szCs w:val="20"/>
              </w:rPr>
              <w:t>UGEL</w:t>
            </w:r>
          </w:p>
        </w:tc>
        <w:tc>
          <w:tcPr>
            <w:tcW w:w="2340" w:type="dxa"/>
            <w:tcBorders>
              <w:top w:val="single" w:sz="6" w:space="0" w:color="CBD5E0"/>
              <w:left w:val="single" w:sz="6" w:space="0" w:color="CBD5E0"/>
              <w:bottom w:val="single" w:sz="6" w:space="0" w:color="CBD5E0"/>
              <w:right w:val="single" w:sz="6" w:space="0" w:color="CBD5E0"/>
            </w:tcBorders>
            <w:tcMar>
              <w:top w:w="120" w:type="dxa"/>
              <w:left w:w="150" w:type="dxa"/>
              <w:bottom w:w="120" w:type="dxa"/>
              <w:right w:w="150" w:type="dxa"/>
            </w:tcMar>
          </w:tcPr>
          <w:p w14:paraId="70B80FB4" w14:textId="77777777" w:rsidR="003D0B8D" w:rsidRDefault="00000000">
            <w:pPr>
              <w:pBdr>
                <w:top w:val="nil"/>
                <w:left w:val="nil"/>
                <w:bottom w:val="nil"/>
                <w:right w:val="nil"/>
                <w:between w:val="nil"/>
              </w:pBdr>
              <w:spacing w:before="120" w:after="120"/>
              <w:rPr>
                <w:sz w:val="20"/>
                <w:szCs w:val="20"/>
              </w:rPr>
            </w:pPr>
            <w:r>
              <w:rPr>
                <w:sz w:val="20"/>
                <w:szCs w:val="20"/>
              </w:rPr>
              <w:t>06</w:t>
            </w:r>
          </w:p>
        </w:tc>
        <w:tc>
          <w:tcPr>
            <w:tcW w:w="2340" w:type="dxa"/>
            <w:tcBorders>
              <w:top w:val="single" w:sz="6" w:space="0" w:color="CBD5E0"/>
              <w:left w:val="single" w:sz="6" w:space="0" w:color="CBD5E0"/>
              <w:bottom w:val="single" w:sz="6" w:space="0" w:color="CBD5E0"/>
              <w:right w:val="single" w:sz="6" w:space="0" w:color="CBD5E0"/>
            </w:tcBorders>
            <w:shd w:val="clear" w:color="auto" w:fill="EBF8FF"/>
            <w:tcMar>
              <w:top w:w="120" w:type="dxa"/>
              <w:left w:w="150" w:type="dxa"/>
              <w:bottom w:w="120" w:type="dxa"/>
              <w:right w:w="150" w:type="dxa"/>
            </w:tcMar>
          </w:tcPr>
          <w:p w14:paraId="603F7296" w14:textId="77777777" w:rsidR="003D0B8D" w:rsidRDefault="00000000">
            <w:pPr>
              <w:pBdr>
                <w:top w:val="nil"/>
                <w:left w:val="nil"/>
                <w:bottom w:val="nil"/>
                <w:right w:val="nil"/>
                <w:between w:val="nil"/>
              </w:pBdr>
              <w:spacing w:before="120" w:after="120"/>
              <w:rPr>
                <w:b/>
                <w:bCs/>
                <w:color w:val="2B6CB0"/>
                <w:sz w:val="20"/>
                <w:szCs w:val="20"/>
              </w:rPr>
            </w:pPr>
            <w:r>
              <w:rPr>
                <w:b/>
                <w:bCs/>
                <w:color w:val="2B6CB0"/>
                <w:sz w:val="20"/>
                <w:szCs w:val="20"/>
              </w:rPr>
              <w:t>ÁREA CURRICULAR</w:t>
            </w:r>
          </w:p>
        </w:tc>
        <w:tc>
          <w:tcPr>
            <w:tcW w:w="2340" w:type="dxa"/>
            <w:tcBorders>
              <w:top w:val="single" w:sz="6" w:space="0" w:color="CBD5E0"/>
              <w:left w:val="single" w:sz="6" w:space="0" w:color="CBD5E0"/>
              <w:bottom w:val="single" w:sz="6" w:space="0" w:color="CBD5E0"/>
              <w:right w:val="single" w:sz="6" w:space="0" w:color="CBD5E0"/>
            </w:tcBorders>
            <w:tcMar>
              <w:top w:w="120" w:type="dxa"/>
              <w:left w:w="150" w:type="dxa"/>
              <w:bottom w:w="120" w:type="dxa"/>
              <w:right w:w="150" w:type="dxa"/>
            </w:tcMar>
          </w:tcPr>
          <w:p w14:paraId="7D1BCA9E" w14:textId="77777777" w:rsidR="003D0B8D" w:rsidRDefault="00000000">
            <w:pPr>
              <w:pBdr>
                <w:top w:val="nil"/>
                <w:left w:val="nil"/>
                <w:bottom w:val="nil"/>
                <w:right w:val="nil"/>
                <w:between w:val="nil"/>
              </w:pBdr>
              <w:spacing w:before="120" w:after="120"/>
              <w:rPr>
                <w:sz w:val="20"/>
                <w:szCs w:val="20"/>
              </w:rPr>
            </w:pPr>
            <w:r>
              <w:rPr>
                <w:sz w:val="20"/>
                <w:szCs w:val="20"/>
              </w:rPr>
              <w:t>CIENCIAS SOCIALES</w:t>
            </w:r>
          </w:p>
        </w:tc>
      </w:tr>
      <w:tr w:rsidR="003D0B8D" w14:paraId="72E6568F" w14:textId="77777777">
        <w:tc>
          <w:tcPr>
            <w:tcW w:w="2340" w:type="dxa"/>
            <w:tcBorders>
              <w:top w:val="single" w:sz="6" w:space="0" w:color="CBD5E0"/>
              <w:left w:val="single" w:sz="6" w:space="0" w:color="CBD5E0"/>
              <w:bottom w:val="single" w:sz="6" w:space="0" w:color="CBD5E0"/>
              <w:right w:val="single" w:sz="6" w:space="0" w:color="CBD5E0"/>
            </w:tcBorders>
            <w:shd w:val="clear" w:color="auto" w:fill="EBF8FF"/>
            <w:tcMar>
              <w:top w:w="120" w:type="dxa"/>
              <w:left w:w="150" w:type="dxa"/>
              <w:bottom w:w="120" w:type="dxa"/>
              <w:right w:w="150" w:type="dxa"/>
            </w:tcMar>
          </w:tcPr>
          <w:p w14:paraId="5BA894D4" w14:textId="77777777" w:rsidR="003D0B8D" w:rsidRDefault="00000000">
            <w:pPr>
              <w:pBdr>
                <w:top w:val="nil"/>
                <w:left w:val="nil"/>
                <w:bottom w:val="nil"/>
                <w:right w:val="nil"/>
                <w:between w:val="nil"/>
              </w:pBdr>
              <w:spacing w:before="120" w:after="120"/>
              <w:rPr>
                <w:b/>
                <w:bCs/>
                <w:color w:val="2B6CB0"/>
                <w:sz w:val="20"/>
                <w:szCs w:val="20"/>
              </w:rPr>
            </w:pPr>
            <w:r>
              <w:rPr>
                <w:b/>
                <w:bCs/>
                <w:color w:val="2B6CB0"/>
                <w:sz w:val="20"/>
                <w:szCs w:val="20"/>
              </w:rPr>
              <w:t>INSTITUCIÓN EDUCATIVA</w:t>
            </w:r>
          </w:p>
        </w:tc>
        <w:tc>
          <w:tcPr>
            <w:tcW w:w="2340" w:type="dxa"/>
            <w:tcBorders>
              <w:top w:val="single" w:sz="6" w:space="0" w:color="CBD5E0"/>
              <w:left w:val="single" w:sz="6" w:space="0" w:color="CBD5E0"/>
              <w:bottom w:val="single" w:sz="6" w:space="0" w:color="CBD5E0"/>
              <w:right w:val="single" w:sz="6" w:space="0" w:color="CBD5E0"/>
            </w:tcBorders>
            <w:tcMar>
              <w:top w:w="120" w:type="dxa"/>
              <w:left w:w="150" w:type="dxa"/>
              <w:bottom w:w="120" w:type="dxa"/>
              <w:right w:w="150" w:type="dxa"/>
            </w:tcMar>
          </w:tcPr>
          <w:p w14:paraId="6D627C41" w14:textId="77777777" w:rsidR="003D0B8D" w:rsidRDefault="00000000">
            <w:pPr>
              <w:pBdr>
                <w:top w:val="nil"/>
                <w:left w:val="nil"/>
                <w:bottom w:val="nil"/>
                <w:right w:val="nil"/>
                <w:between w:val="nil"/>
              </w:pBdr>
              <w:spacing w:before="120" w:after="120"/>
              <w:rPr>
                <w:sz w:val="20"/>
                <w:szCs w:val="20"/>
              </w:rPr>
            </w:pPr>
            <w:r>
              <w:rPr>
                <w:sz w:val="20"/>
                <w:szCs w:val="20"/>
              </w:rPr>
              <w:t>N° 0027 SAN ANTONIO DE JICAMARCA</w:t>
            </w:r>
          </w:p>
        </w:tc>
        <w:tc>
          <w:tcPr>
            <w:tcW w:w="2340" w:type="dxa"/>
            <w:tcBorders>
              <w:top w:val="single" w:sz="6" w:space="0" w:color="CBD5E0"/>
              <w:left w:val="single" w:sz="6" w:space="0" w:color="CBD5E0"/>
              <w:bottom w:val="single" w:sz="6" w:space="0" w:color="CBD5E0"/>
              <w:right w:val="single" w:sz="6" w:space="0" w:color="CBD5E0"/>
            </w:tcBorders>
            <w:shd w:val="clear" w:color="auto" w:fill="EBF8FF"/>
            <w:tcMar>
              <w:top w:w="120" w:type="dxa"/>
              <w:left w:w="150" w:type="dxa"/>
              <w:bottom w:w="120" w:type="dxa"/>
              <w:right w:w="150" w:type="dxa"/>
            </w:tcMar>
          </w:tcPr>
          <w:p w14:paraId="7645B163" w14:textId="77777777" w:rsidR="003D0B8D" w:rsidRDefault="00000000">
            <w:pPr>
              <w:pBdr>
                <w:top w:val="nil"/>
                <w:left w:val="nil"/>
                <w:bottom w:val="nil"/>
                <w:right w:val="nil"/>
                <w:between w:val="nil"/>
              </w:pBdr>
              <w:spacing w:before="120" w:after="120"/>
              <w:rPr>
                <w:b/>
                <w:bCs/>
                <w:color w:val="2B6CB0"/>
                <w:sz w:val="20"/>
                <w:szCs w:val="20"/>
              </w:rPr>
            </w:pPr>
            <w:r>
              <w:rPr>
                <w:b/>
                <w:bCs/>
                <w:color w:val="2B6CB0"/>
                <w:sz w:val="20"/>
                <w:szCs w:val="20"/>
              </w:rPr>
              <w:t>CICLO</w:t>
            </w:r>
          </w:p>
        </w:tc>
        <w:tc>
          <w:tcPr>
            <w:tcW w:w="2340" w:type="dxa"/>
            <w:tcBorders>
              <w:top w:val="single" w:sz="6" w:space="0" w:color="CBD5E0"/>
              <w:left w:val="single" w:sz="6" w:space="0" w:color="CBD5E0"/>
              <w:bottom w:val="single" w:sz="6" w:space="0" w:color="CBD5E0"/>
              <w:right w:val="single" w:sz="6" w:space="0" w:color="CBD5E0"/>
            </w:tcBorders>
            <w:tcMar>
              <w:top w:w="120" w:type="dxa"/>
              <w:left w:w="150" w:type="dxa"/>
              <w:bottom w:w="120" w:type="dxa"/>
              <w:right w:w="150" w:type="dxa"/>
            </w:tcMar>
          </w:tcPr>
          <w:p w14:paraId="6AB312D5" w14:textId="77777777" w:rsidR="003D0B8D" w:rsidRDefault="00000000">
            <w:pPr>
              <w:pBdr>
                <w:top w:val="nil"/>
                <w:left w:val="nil"/>
                <w:bottom w:val="nil"/>
                <w:right w:val="nil"/>
                <w:between w:val="nil"/>
              </w:pBdr>
              <w:spacing w:before="120" w:after="120"/>
              <w:rPr>
                <w:sz w:val="20"/>
                <w:szCs w:val="20"/>
              </w:rPr>
            </w:pPr>
            <w:r>
              <w:rPr>
                <w:sz w:val="20"/>
                <w:szCs w:val="20"/>
              </w:rPr>
              <w:t>VI</w:t>
            </w:r>
          </w:p>
        </w:tc>
      </w:tr>
      <w:tr w:rsidR="003D0B8D" w14:paraId="25FBC86C" w14:textId="77777777">
        <w:tc>
          <w:tcPr>
            <w:tcW w:w="2340" w:type="dxa"/>
            <w:tcBorders>
              <w:top w:val="single" w:sz="6" w:space="0" w:color="CBD5E0"/>
              <w:left w:val="single" w:sz="6" w:space="0" w:color="CBD5E0"/>
              <w:bottom w:val="single" w:sz="6" w:space="0" w:color="CBD5E0"/>
              <w:right w:val="single" w:sz="6" w:space="0" w:color="CBD5E0"/>
            </w:tcBorders>
            <w:shd w:val="clear" w:color="auto" w:fill="EBF8FF"/>
            <w:tcMar>
              <w:top w:w="120" w:type="dxa"/>
              <w:left w:w="150" w:type="dxa"/>
              <w:bottom w:w="120" w:type="dxa"/>
              <w:right w:w="150" w:type="dxa"/>
            </w:tcMar>
          </w:tcPr>
          <w:p w14:paraId="09939C58" w14:textId="77777777" w:rsidR="003D0B8D" w:rsidRDefault="00000000">
            <w:pPr>
              <w:pBdr>
                <w:top w:val="nil"/>
                <w:left w:val="nil"/>
                <w:bottom w:val="nil"/>
                <w:right w:val="nil"/>
                <w:between w:val="nil"/>
              </w:pBdr>
              <w:spacing w:before="120" w:after="120"/>
              <w:rPr>
                <w:b/>
                <w:bCs/>
                <w:color w:val="2B6CB0"/>
                <w:sz w:val="20"/>
                <w:szCs w:val="20"/>
              </w:rPr>
            </w:pPr>
            <w:r>
              <w:rPr>
                <w:b/>
                <w:bCs/>
                <w:color w:val="2B6CB0"/>
                <w:sz w:val="20"/>
                <w:szCs w:val="20"/>
              </w:rPr>
              <w:t>GRADO Y SECCIÓN</w:t>
            </w:r>
          </w:p>
        </w:tc>
        <w:tc>
          <w:tcPr>
            <w:tcW w:w="2340" w:type="dxa"/>
            <w:tcBorders>
              <w:top w:val="single" w:sz="6" w:space="0" w:color="CBD5E0"/>
              <w:left w:val="single" w:sz="6" w:space="0" w:color="CBD5E0"/>
              <w:bottom w:val="single" w:sz="6" w:space="0" w:color="CBD5E0"/>
              <w:right w:val="single" w:sz="6" w:space="0" w:color="CBD5E0"/>
            </w:tcBorders>
            <w:tcMar>
              <w:top w:w="120" w:type="dxa"/>
              <w:left w:w="150" w:type="dxa"/>
              <w:bottom w:w="120" w:type="dxa"/>
              <w:right w:w="150" w:type="dxa"/>
            </w:tcMar>
          </w:tcPr>
          <w:p w14:paraId="7EE1A120" w14:textId="77777777" w:rsidR="003D0B8D" w:rsidRDefault="00000000">
            <w:pPr>
              <w:pBdr>
                <w:top w:val="nil"/>
                <w:left w:val="nil"/>
                <w:bottom w:val="nil"/>
                <w:right w:val="nil"/>
                <w:between w:val="nil"/>
              </w:pBdr>
              <w:spacing w:before="120" w:after="120"/>
              <w:rPr>
                <w:sz w:val="20"/>
                <w:szCs w:val="20"/>
              </w:rPr>
            </w:pPr>
            <w:r>
              <w:rPr>
                <w:sz w:val="20"/>
                <w:szCs w:val="20"/>
              </w:rPr>
              <w:t>2° grado de Secundaria</w:t>
            </w:r>
          </w:p>
        </w:tc>
        <w:tc>
          <w:tcPr>
            <w:tcW w:w="2340" w:type="dxa"/>
            <w:tcBorders>
              <w:top w:val="single" w:sz="6" w:space="0" w:color="CBD5E0"/>
              <w:left w:val="single" w:sz="6" w:space="0" w:color="CBD5E0"/>
              <w:bottom w:val="single" w:sz="6" w:space="0" w:color="CBD5E0"/>
              <w:right w:val="single" w:sz="6" w:space="0" w:color="CBD5E0"/>
            </w:tcBorders>
            <w:shd w:val="clear" w:color="auto" w:fill="EBF8FF"/>
            <w:tcMar>
              <w:top w:w="120" w:type="dxa"/>
              <w:left w:w="150" w:type="dxa"/>
              <w:bottom w:w="120" w:type="dxa"/>
              <w:right w:w="150" w:type="dxa"/>
            </w:tcMar>
          </w:tcPr>
          <w:p w14:paraId="30EF3B91" w14:textId="77777777" w:rsidR="003D0B8D" w:rsidRDefault="00000000">
            <w:pPr>
              <w:pBdr>
                <w:top w:val="nil"/>
                <w:left w:val="nil"/>
                <w:bottom w:val="nil"/>
                <w:right w:val="nil"/>
                <w:between w:val="nil"/>
              </w:pBdr>
              <w:spacing w:before="120" w:after="120"/>
              <w:rPr>
                <w:b/>
                <w:bCs/>
                <w:color w:val="2B6CB0"/>
                <w:sz w:val="20"/>
                <w:szCs w:val="20"/>
              </w:rPr>
            </w:pPr>
            <w:r>
              <w:rPr>
                <w:b/>
                <w:bCs/>
                <w:color w:val="2B6CB0"/>
                <w:sz w:val="20"/>
                <w:szCs w:val="20"/>
              </w:rPr>
              <w:t>DURACIÓN</w:t>
            </w:r>
          </w:p>
        </w:tc>
        <w:tc>
          <w:tcPr>
            <w:tcW w:w="2340" w:type="dxa"/>
            <w:tcBorders>
              <w:top w:val="single" w:sz="6" w:space="0" w:color="CBD5E0"/>
              <w:left w:val="single" w:sz="6" w:space="0" w:color="CBD5E0"/>
              <w:bottom w:val="single" w:sz="6" w:space="0" w:color="CBD5E0"/>
              <w:right w:val="single" w:sz="6" w:space="0" w:color="CBD5E0"/>
            </w:tcBorders>
            <w:tcMar>
              <w:top w:w="120" w:type="dxa"/>
              <w:left w:w="150" w:type="dxa"/>
              <w:bottom w:w="120" w:type="dxa"/>
              <w:right w:w="150" w:type="dxa"/>
            </w:tcMar>
          </w:tcPr>
          <w:p w14:paraId="64CCF5BA" w14:textId="77777777" w:rsidR="003D0B8D" w:rsidRDefault="00000000">
            <w:pPr>
              <w:pBdr>
                <w:top w:val="nil"/>
                <w:left w:val="nil"/>
                <w:bottom w:val="nil"/>
                <w:right w:val="nil"/>
                <w:between w:val="nil"/>
              </w:pBdr>
              <w:spacing w:before="120" w:after="120"/>
              <w:rPr>
                <w:sz w:val="20"/>
                <w:szCs w:val="20"/>
              </w:rPr>
            </w:pPr>
            <w:r>
              <w:rPr>
                <w:sz w:val="20"/>
                <w:szCs w:val="20"/>
              </w:rPr>
              <w:t>4 semanas</w:t>
            </w:r>
          </w:p>
        </w:tc>
      </w:tr>
      <w:tr w:rsidR="003D0B8D" w14:paraId="235D83B8" w14:textId="77777777">
        <w:tc>
          <w:tcPr>
            <w:tcW w:w="2340" w:type="dxa"/>
            <w:tcBorders>
              <w:top w:val="single" w:sz="6" w:space="0" w:color="CBD5E0"/>
              <w:left w:val="single" w:sz="6" w:space="0" w:color="CBD5E0"/>
              <w:bottom w:val="single" w:sz="6" w:space="0" w:color="CBD5E0"/>
              <w:right w:val="single" w:sz="6" w:space="0" w:color="CBD5E0"/>
            </w:tcBorders>
            <w:shd w:val="clear" w:color="auto" w:fill="EBF8FF"/>
            <w:tcMar>
              <w:top w:w="120" w:type="dxa"/>
              <w:left w:w="150" w:type="dxa"/>
              <w:bottom w:w="120" w:type="dxa"/>
              <w:right w:w="150" w:type="dxa"/>
            </w:tcMar>
          </w:tcPr>
          <w:p w14:paraId="4744A7A2" w14:textId="77777777" w:rsidR="003D0B8D" w:rsidRDefault="00000000">
            <w:pPr>
              <w:pBdr>
                <w:top w:val="nil"/>
                <w:left w:val="nil"/>
                <w:bottom w:val="nil"/>
                <w:right w:val="nil"/>
                <w:between w:val="nil"/>
              </w:pBdr>
              <w:spacing w:before="120" w:after="120"/>
              <w:rPr>
                <w:b/>
                <w:bCs/>
                <w:color w:val="2B6CB0"/>
                <w:sz w:val="20"/>
                <w:szCs w:val="20"/>
              </w:rPr>
            </w:pPr>
            <w:r>
              <w:rPr>
                <w:b/>
                <w:bCs/>
                <w:color w:val="2B6CB0"/>
                <w:sz w:val="20"/>
                <w:szCs w:val="20"/>
              </w:rPr>
              <w:t>DIRECTOR</w:t>
            </w:r>
          </w:p>
        </w:tc>
        <w:tc>
          <w:tcPr>
            <w:tcW w:w="2340" w:type="dxa"/>
            <w:tcBorders>
              <w:top w:val="single" w:sz="6" w:space="0" w:color="CBD5E0"/>
              <w:left w:val="single" w:sz="6" w:space="0" w:color="CBD5E0"/>
              <w:bottom w:val="single" w:sz="6" w:space="0" w:color="CBD5E0"/>
              <w:right w:val="single" w:sz="6" w:space="0" w:color="CBD5E0"/>
            </w:tcBorders>
            <w:tcMar>
              <w:top w:w="120" w:type="dxa"/>
              <w:left w:w="150" w:type="dxa"/>
              <w:bottom w:w="120" w:type="dxa"/>
              <w:right w:w="150" w:type="dxa"/>
            </w:tcMar>
          </w:tcPr>
          <w:p w14:paraId="2FDFC7DF" w14:textId="77777777" w:rsidR="003D0B8D" w:rsidRDefault="00000000">
            <w:pPr>
              <w:pBdr>
                <w:top w:val="nil"/>
                <w:left w:val="nil"/>
                <w:bottom w:val="nil"/>
                <w:right w:val="nil"/>
                <w:between w:val="nil"/>
              </w:pBdr>
              <w:spacing w:before="120" w:after="120"/>
              <w:rPr>
                <w:sz w:val="20"/>
                <w:szCs w:val="20"/>
              </w:rPr>
            </w:pPr>
            <w:r>
              <w:rPr>
                <w:sz w:val="20"/>
                <w:szCs w:val="20"/>
              </w:rPr>
              <w:t>Mg. David Inga Barzola</w:t>
            </w:r>
          </w:p>
        </w:tc>
        <w:tc>
          <w:tcPr>
            <w:tcW w:w="2340" w:type="dxa"/>
            <w:tcBorders>
              <w:top w:val="single" w:sz="6" w:space="0" w:color="CBD5E0"/>
              <w:left w:val="single" w:sz="6" w:space="0" w:color="CBD5E0"/>
              <w:bottom w:val="single" w:sz="6" w:space="0" w:color="CBD5E0"/>
              <w:right w:val="single" w:sz="6" w:space="0" w:color="CBD5E0"/>
            </w:tcBorders>
            <w:shd w:val="clear" w:color="auto" w:fill="EBF8FF"/>
            <w:tcMar>
              <w:top w:w="120" w:type="dxa"/>
              <w:left w:w="150" w:type="dxa"/>
              <w:bottom w:w="120" w:type="dxa"/>
              <w:right w:w="150" w:type="dxa"/>
            </w:tcMar>
          </w:tcPr>
          <w:p w14:paraId="37037D92" w14:textId="77777777" w:rsidR="003D0B8D" w:rsidRDefault="00000000">
            <w:pPr>
              <w:pBdr>
                <w:top w:val="nil"/>
                <w:left w:val="nil"/>
                <w:bottom w:val="nil"/>
                <w:right w:val="nil"/>
                <w:between w:val="nil"/>
              </w:pBdr>
              <w:spacing w:before="120" w:after="120"/>
              <w:rPr>
                <w:b/>
                <w:bCs/>
                <w:color w:val="2B6CB0"/>
                <w:sz w:val="20"/>
                <w:szCs w:val="20"/>
              </w:rPr>
            </w:pPr>
            <w:r>
              <w:rPr>
                <w:b/>
                <w:bCs/>
                <w:color w:val="2B6CB0"/>
                <w:sz w:val="20"/>
                <w:szCs w:val="20"/>
              </w:rPr>
              <w:t>FECHA DE INICIO</w:t>
            </w:r>
          </w:p>
        </w:tc>
        <w:tc>
          <w:tcPr>
            <w:tcW w:w="2340" w:type="dxa"/>
            <w:tcBorders>
              <w:top w:val="single" w:sz="6" w:space="0" w:color="CBD5E0"/>
              <w:left w:val="single" w:sz="6" w:space="0" w:color="CBD5E0"/>
              <w:bottom w:val="single" w:sz="6" w:space="0" w:color="CBD5E0"/>
              <w:right w:val="single" w:sz="6" w:space="0" w:color="CBD5E0"/>
            </w:tcBorders>
            <w:tcMar>
              <w:top w:w="120" w:type="dxa"/>
              <w:left w:w="150" w:type="dxa"/>
              <w:bottom w:w="120" w:type="dxa"/>
              <w:right w:w="150" w:type="dxa"/>
            </w:tcMar>
          </w:tcPr>
          <w:p w14:paraId="1BF50F6D" w14:textId="77777777" w:rsidR="003D0B8D" w:rsidRDefault="00000000">
            <w:pPr>
              <w:pBdr>
                <w:top w:val="nil"/>
                <w:left w:val="nil"/>
                <w:bottom w:val="nil"/>
                <w:right w:val="nil"/>
                <w:between w:val="nil"/>
              </w:pBdr>
              <w:spacing w:before="120" w:after="120"/>
              <w:rPr>
                <w:sz w:val="20"/>
                <w:szCs w:val="20"/>
              </w:rPr>
            </w:pPr>
            <w:r>
              <w:rPr>
                <w:sz w:val="20"/>
                <w:szCs w:val="20"/>
              </w:rPr>
              <w:t>25 de mayo de 2026</w:t>
            </w:r>
          </w:p>
        </w:tc>
      </w:tr>
      <w:tr w:rsidR="003D0B8D" w14:paraId="42AE7CB5" w14:textId="77777777">
        <w:tc>
          <w:tcPr>
            <w:tcW w:w="2340" w:type="dxa"/>
            <w:tcBorders>
              <w:top w:val="single" w:sz="6" w:space="0" w:color="CBD5E0"/>
              <w:left w:val="single" w:sz="6" w:space="0" w:color="CBD5E0"/>
              <w:bottom w:val="single" w:sz="6" w:space="0" w:color="CBD5E0"/>
              <w:right w:val="single" w:sz="6" w:space="0" w:color="CBD5E0"/>
            </w:tcBorders>
            <w:shd w:val="clear" w:color="auto" w:fill="EBF8FF"/>
            <w:tcMar>
              <w:top w:w="120" w:type="dxa"/>
              <w:left w:w="150" w:type="dxa"/>
              <w:bottom w:w="120" w:type="dxa"/>
              <w:right w:w="150" w:type="dxa"/>
            </w:tcMar>
          </w:tcPr>
          <w:p w14:paraId="5592E962" w14:textId="77777777" w:rsidR="003D0B8D" w:rsidRDefault="00000000">
            <w:pPr>
              <w:pBdr>
                <w:top w:val="nil"/>
                <w:left w:val="nil"/>
                <w:bottom w:val="nil"/>
                <w:right w:val="nil"/>
                <w:between w:val="nil"/>
              </w:pBdr>
              <w:spacing w:before="120" w:after="120"/>
              <w:rPr>
                <w:b/>
                <w:bCs/>
                <w:color w:val="2B6CB0"/>
                <w:sz w:val="20"/>
                <w:szCs w:val="20"/>
              </w:rPr>
            </w:pPr>
            <w:r>
              <w:rPr>
                <w:b/>
                <w:bCs/>
                <w:color w:val="2B6CB0"/>
                <w:sz w:val="20"/>
                <w:szCs w:val="20"/>
              </w:rPr>
              <w:t>SUBDIRECTOR</w:t>
            </w:r>
          </w:p>
        </w:tc>
        <w:tc>
          <w:tcPr>
            <w:tcW w:w="2340" w:type="dxa"/>
            <w:tcBorders>
              <w:top w:val="single" w:sz="6" w:space="0" w:color="CBD5E0"/>
              <w:left w:val="single" w:sz="6" w:space="0" w:color="CBD5E0"/>
              <w:bottom w:val="single" w:sz="6" w:space="0" w:color="CBD5E0"/>
              <w:right w:val="single" w:sz="6" w:space="0" w:color="CBD5E0"/>
            </w:tcBorders>
            <w:tcMar>
              <w:top w:w="120" w:type="dxa"/>
              <w:left w:w="150" w:type="dxa"/>
              <w:bottom w:w="120" w:type="dxa"/>
              <w:right w:w="150" w:type="dxa"/>
            </w:tcMar>
          </w:tcPr>
          <w:p w14:paraId="00102FA5" w14:textId="77777777" w:rsidR="003D0B8D" w:rsidRDefault="00000000">
            <w:pPr>
              <w:pBdr>
                <w:top w:val="nil"/>
                <w:left w:val="nil"/>
                <w:bottom w:val="nil"/>
                <w:right w:val="nil"/>
                <w:between w:val="nil"/>
              </w:pBdr>
              <w:spacing w:before="120" w:after="120"/>
              <w:rPr>
                <w:sz w:val="20"/>
                <w:szCs w:val="20"/>
              </w:rPr>
            </w:pPr>
            <w:r>
              <w:rPr>
                <w:sz w:val="20"/>
                <w:szCs w:val="20"/>
              </w:rPr>
              <w:t>Mg. Jared Palomino</w:t>
            </w:r>
          </w:p>
        </w:tc>
        <w:tc>
          <w:tcPr>
            <w:tcW w:w="2340" w:type="dxa"/>
            <w:tcBorders>
              <w:top w:val="single" w:sz="6" w:space="0" w:color="CBD5E0"/>
              <w:left w:val="single" w:sz="6" w:space="0" w:color="CBD5E0"/>
              <w:bottom w:val="single" w:sz="6" w:space="0" w:color="CBD5E0"/>
              <w:right w:val="single" w:sz="6" w:space="0" w:color="CBD5E0"/>
            </w:tcBorders>
            <w:shd w:val="clear" w:color="auto" w:fill="EBF8FF"/>
            <w:tcMar>
              <w:top w:w="120" w:type="dxa"/>
              <w:left w:w="150" w:type="dxa"/>
              <w:bottom w:w="120" w:type="dxa"/>
              <w:right w:w="150" w:type="dxa"/>
            </w:tcMar>
          </w:tcPr>
          <w:p w14:paraId="080074A8" w14:textId="77777777" w:rsidR="003D0B8D" w:rsidRDefault="00000000">
            <w:pPr>
              <w:pBdr>
                <w:top w:val="nil"/>
                <w:left w:val="nil"/>
                <w:bottom w:val="nil"/>
                <w:right w:val="nil"/>
                <w:between w:val="nil"/>
              </w:pBdr>
              <w:spacing w:before="120" w:after="120"/>
              <w:rPr>
                <w:b/>
                <w:bCs/>
                <w:color w:val="2B6CB0"/>
                <w:sz w:val="20"/>
                <w:szCs w:val="20"/>
              </w:rPr>
            </w:pPr>
            <w:r>
              <w:rPr>
                <w:b/>
                <w:bCs/>
                <w:color w:val="2B6CB0"/>
                <w:sz w:val="20"/>
                <w:szCs w:val="20"/>
              </w:rPr>
              <w:t>FECHA DE TÉRMINO</w:t>
            </w:r>
          </w:p>
        </w:tc>
        <w:tc>
          <w:tcPr>
            <w:tcW w:w="2340" w:type="dxa"/>
            <w:tcBorders>
              <w:top w:val="single" w:sz="6" w:space="0" w:color="CBD5E0"/>
              <w:left w:val="single" w:sz="6" w:space="0" w:color="CBD5E0"/>
              <w:bottom w:val="single" w:sz="6" w:space="0" w:color="CBD5E0"/>
              <w:right w:val="single" w:sz="6" w:space="0" w:color="CBD5E0"/>
            </w:tcBorders>
            <w:tcMar>
              <w:top w:w="120" w:type="dxa"/>
              <w:left w:w="150" w:type="dxa"/>
              <w:bottom w:w="120" w:type="dxa"/>
              <w:right w:w="150" w:type="dxa"/>
            </w:tcMar>
          </w:tcPr>
          <w:p w14:paraId="14880EDA" w14:textId="77777777" w:rsidR="003D0B8D" w:rsidRDefault="00000000">
            <w:pPr>
              <w:pBdr>
                <w:top w:val="nil"/>
                <w:left w:val="nil"/>
                <w:bottom w:val="nil"/>
                <w:right w:val="nil"/>
                <w:between w:val="nil"/>
              </w:pBdr>
              <w:spacing w:before="120" w:after="120"/>
              <w:rPr>
                <w:sz w:val="20"/>
                <w:szCs w:val="20"/>
              </w:rPr>
            </w:pPr>
            <w:r>
              <w:rPr>
                <w:sz w:val="20"/>
                <w:szCs w:val="20"/>
              </w:rPr>
              <w:t>19 de junio de 2026</w:t>
            </w:r>
          </w:p>
        </w:tc>
      </w:tr>
      <w:tr w:rsidR="003D0B8D" w14:paraId="2378BBE8" w14:textId="77777777">
        <w:tc>
          <w:tcPr>
            <w:tcW w:w="2340" w:type="dxa"/>
            <w:tcBorders>
              <w:top w:val="single" w:sz="6" w:space="0" w:color="CBD5E0"/>
              <w:left w:val="single" w:sz="6" w:space="0" w:color="CBD5E0"/>
              <w:bottom w:val="single" w:sz="6" w:space="0" w:color="CBD5E0"/>
              <w:right w:val="single" w:sz="6" w:space="0" w:color="CBD5E0"/>
            </w:tcBorders>
            <w:shd w:val="clear" w:color="auto" w:fill="EBF8FF"/>
            <w:tcMar>
              <w:top w:w="120" w:type="dxa"/>
              <w:left w:w="150" w:type="dxa"/>
              <w:bottom w:w="120" w:type="dxa"/>
              <w:right w:w="150" w:type="dxa"/>
            </w:tcMar>
          </w:tcPr>
          <w:p w14:paraId="3AF30649" w14:textId="77777777" w:rsidR="003D0B8D" w:rsidRDefault="00000000">
            <w:pPr>
              <w:pBdr>
                <w:top w:val="nil"/>
                <w:left w:val="nil"/>
                <w:bottom w:val="nil"/>
                <w:right w:val="nil"/>
                <w:between w:val="nil"/>
              </w:pBdr>
              <w:spacing w:before="120" w:after="120"/>
              <w:rPr>
                <w:b/>
                <w:bCs/>
                <w:color w:val="2B6CB0"/>
                <w:sz w:val="20"/>
                <w:szCs w:val="20"/>
              </w:rPr>
            </w:pPr>
            <w:r>
              <w:rPr>
                <w:b/>
                <w:bCs/>
                <w:color w:val="2B6CB0"/>
                <w:sz w:val="20"/>
                <w:szCs w:val="20"/>
              </w:rPr>
              <w:t>DOCENTE</w:t>
            </w:r>
          </w:p>
        </w:tc>
        <w:tc>
          <w:tcPr>
            <w:tcW w:w="2340" w:type="dxa"/>
            <w:tcBorders>
              <w:top w:val="single" w:sz="6" w:space="0" w:color="CBD5E0"/>
              <w:left w:val="single" w:sz="6" w:space="0" w:color="CBD5E0"/>
              <w:bottom w:val="single" w:sz="6" w:space="0" w:color="CBD5E0"/>
              <w:right w:val="single" w:sz="6" w:space="0" w:color="CBD5E0"/>
            </w:tcBorders>
            <w:tcMar>
              <w:top w:w="120" w:type="dxa"/>
              <w:left w:w="150" w:type="dxa"/>
              <w:bottom w:w="120" w:type="dxa"/>
              <w:right w:w="150" w:type="dxa"/>
            </w:tcMar>
          </w:tcPr>
          <w:p w14:paraId="184500AE" w14:textId="77777777" w:rsidR="003D0B8D" w:rsidRDefault="00000000">
            <w:pPr>
              <w:pBdr>
                <w:top w:val="nil"/>
                <w:left w:val="nil"/>
                <w:bottom w:val="nil"/>
                <w:right w:val="nil"/>
                <w:between w:val="nil"/>
              </w:pBdr>
              <w:spacing w:before="120" w:after="120"/>
              <w:rPr>
                <w:sz w:val="20"/>
                <w:szCs w:val="20"/>
              </w:rPr>
            </w:pPr>
            <w:r>
              <w:rPr>
                <w:sz w:val="20"/>
                <w:szCs w:val="20"/>
              </w:rPr>
              <w:t>Amelia Teresa Aparcana Avila</w:t>
            </w:r>
          </w:p>
        </w:tc>
        <w:tc>
          <w:tcPr>
            <w:tcW w:w="2340" w:type="dxa"/>
            <w:tcBorders>
              <w:top w:val="single" w:sz="6" w:space="0" w:color="CBD5E0"/>
              <w:left w:val="single" w:sz="6" w:space="0" w:color="CBD5E0"/>
              <w:bottom w:val="single" w:sz="6" w:space="0" w:color="CBD5E0"/>
              <w:right w:val="single" w:sz="6" w:space="0" w:color="CBD5E0"/>
            </w:tcBorders>
            <w:shd w:val="clear" w:color="auto" w:fill="EBF8FF"/>
            <w:tcMar>
              <w:top w:w="120" w:type="dxa"/>
              <w:left w:w="150" w:type="dxa"/>
              <w:bottom w:w="120" w:type="dxa"/>
              <w:right w:w="150" w:type="dxa"/>
            </w:tcMar>
          </w:tcPr>
          <w:p w14:paraId="2A37C4BD" w14:textId="77777777" w:rsidR="003D0B8D" w:rsidRDefault="00000000">
            <w:pPr>
              <w:pBdr>
                <w:top w:val="nil"/>
                <w:left w:val="nil"/>
                <w:bottom w:val="nil"/>
                <w:right w:val="nil"/>
                <w:between w:val="nil"/>
              </w:pBdr>
              <w:spacing w:before="120" w:after="120"/>
              <w:rPr>
                <w:b/>
                <w:bCs/>
                <w:color w:val="2B6CB0"/>
                <w:sz w:val="20"/>
                <w:szCs w:val="20"/>
              </w:rPr>
            </w:pPr>
            <w:r>
              <w:rPr>
                <w:b/>
                <w:bCs/>
                <w:color w:val="2B6CB0"/>
                <w:sz w:val="20"/>
                <w:szCs w:val="20"/>
              </w:rPr>
              <w:t>AÑO ESCOLAR</w:t>
            </w:r>
          </w:p>
        </w:tc>
        <w:tc>
          <w:tcPr>
            <w:tcW w:w="2340" w:type="dxa"/>
            <w:tcBorders>
              <w:top w:val="single" w:sz="6" w:space="0" w:color="CBD5E0"/>
              <w:left w:val="single" w:sz="6" w:space="0" w:color="CBD5E0"/>
              <w:bottom w:val="single" w:sz="6" w:space="0" w:color="CBD5E0"/>
              <w:right w:val="single" w:sz="6" w:space="0" w:color="CBD5E0"/>
            </w:tcBorders>
            <w:tcMar>
              <w:top w:w="120" w:type="dxa"/>
              <w:left w:w="150" w:type="dxa"/>
              <w:bottom w:w="120" w:type="dxa"/>
              <w:right w:w="150" w:type="dxa"/>
            </w:tcMar>
          </w:tcPr>
          <w:p w14:paraId="388362F9" w14:textId="77777777" w:rsidR="003D0B8D" w:rsidRDefault="00000000">
            <w:pPr>
              <w:pBdr>
                <w:top w:val="nil"/>
                <w:left w:val="nil"/>
                <w:bottom w:val="nil"/>
                <w:right w:val="nil"/>
                <w:between w:val="nil"/>
              </w:pBdr>
              <w:spacing w:before="120" w:after="120"/>
              <w:rPr>
                <w:sz w:val="20"/>
                <w:szCs w:val="20"/>
              </w:rPr>
            </w:pPr>
            <w:r>
              <w:rPr>
                <w:sz w:val="20"/>
                <w:szCs w:val="20"/>
              </w:rPr>
              <w:t>2026</w:t>
            </w:r>
          </w:p>
        </w:tc>
      </w:tr>
    </w:tbl>
    <w:p w14:paraId="69CD77C3" w14:textId="77777777" w:rsidR="003D0B8D" w:rsidRDefault="00000000">
      <w:pPr>
        <w:pStyle w:val="Ttulo2"/>
      </w:pPr>
      <w:r>
        <w:t>II. SITUACIÓN SIGNIFICATIVA (EDUCACIÓN FINANCIERA - CNEB PÁG. 179)</w:t>
      </w:r>
    </w:p>
    <w:p w14:paraId="0A7874CC" w14:textId="77777777" w:rsidR="003D0B8D" w:rsidRDefault="00000000">
      <w:pPr>
        <w:pBdr>
          <w:top w:val="nil"/>
          <w:left w:val="nil"/>
          <w:bottom w:val="nil"/>
          <w:right w:val="nil"/>
          <w:between w:val="nil"/>
        </w:pBdr>
      </w:pPr>
      <w:r>
        <w:pict w14:anchorId="1C6AA195">
          <v:rect id="_x0000_i1026" style="width:0;height:1.5pt" o:hralign="center" o:hrstd="t" o:hr="t" fillcolor="#a0a0a0" stroked="f"/>
        </w:pict>
      </w:r>
      <w:r>
        <w:rPr>
          <w:b/>
          <w:bCs/>
        </w:rPr>
        <w:t>Título:</w:t>
      </w:r>
      <w:r>
        <w:t xml:space="preserve"> «El desafío de emprender en familia: Navegando entre el presupuesto familiar y las decisiones del mercado»</w:t>
      </w:r>
    </w:p>
    <w:p w14:paraId="4A255A60" w14:textId="77777777" w:rsidR="003D0B8D" w:rsidRDefault="00000000">
      <w:pPr>
        <w:pBdr>
          <w:top w:val="nil"/>
          <w:left w:val="nil"/>
          <w:bottom w:val="nil"/>
          <w:right w:val="nil"/>
          <w:between w:val="nil"/>
        </w:pBdr>
      </w:pPr>
      <w:r>
        <w:rPr>
          <w:b/>
          <w:bCs/>
        </w:rPr>
        <w:t>Contexto:</w:t>
      </w:r>
      <w:r>
        <w:t xml:space="preserve"> Los estudiantes de 2° grado de secundaria de la I.E. N° 0027 San Antonio de Jicamarca, cuyas edades oscilan entre los 11 y 13 años, conviven diariamente con el dinamismo comercial de los mercados locales, bodegas y ferias del barrio. Muchos de sus padres y madres se desempeñan de forma independiente como mototaxistas, comerciantes ambulantes o artesanos, constituyendo el motor económico del hogar. En esta dinámica, los adolescentes observan cómo el dinero ingresa y se gasta rápidamente, participando de forma </w:t>
      </w:r>
      <w:r>
        <w:lastRenderedPageBreak/>
        <w:t>directa como consumidores de bienes y servicios básicos o ayudando en los pequeños negocios familiares.</w:t>
      </w:r>
    </w:p>
    <w:p w14:paraId="1608EB6C" w14:textId="77777777" w:rsidR="003D0B8D" w:rsidRDefault="00000000">
      <w:pPr>
        <w:pBdr>
          <w:top w:val="nil"/>
          <w:left w:val="nil"/>
          <w:bottom w:val="nil"/>
          <w:right w:val="nil"/>
          <w:between w:val="nil"/>
        </w:pBdr>
      </w:pPr>
      <w:r>
        <w:rPr>
          <w:b/>
          <w:bCs/>
        </w:rPr>
        <w:t>Problema o dificultad:</w:t>
      </w:r>
      <w:r>
        <w:t xml:space="preserve"> Sin embargo, se ha identificado que en las últimas semanas las familias enfrentan serias dificultades financieras debido al incremento imprevisto de los precios de la canasta básica alimentaria. Al no contar con ingresos fijos o un registro de gastos, los presupuestos del hogar se desequilibran. Ante la necesidad de liquidez, algunos hogares de la comunidad recurren a la informalidad comercial o, de forma más riesgosa, a redes de préstamos ilegales usurarios (como el esquema del "gota a gota"). Asimismo, los estudiantes desconocen cómo las interacciones económicas cotidianas y la evasión del IGV afectan la recaudación del presupuesto público que financia los servicios de su propia localidad.</w:t>
      </w:r>
    </w:p>
    <w:p w14:paraId="6F3C39D7" w14:textId="77777777" w:rsidR="003D0B8D" w:rsidRDefault="00000000">
      <w:pPr>
        <w:pBdr>
          <w:top w:val="nil"/>
          <w:left w:val="nil"/>
          <w:bottom w:val="nil"/>
          <w:right w:val="nil"/>
          <w:between w:val="nil"/>
        </w:pBdr>
      </w:pPr>
      <w:r>
        <w:rPr>
          <w:b/>
          <w:bCs/>
        </w:rPr>
        <w:t>Consecuencias:</w:t>
      </w:r>
      <w:r>
        <w:t xml:space="preserve"> Si esta problemática no se resuelve, la estabilidad financiera y la seguridad de las familias se verán vulneradas por el sobreendeudamiento y la delincuencia. Además, los estudiantes reproducirán hábitos de consumo impulsivos, desvalorizarán la importancia de la formalización empresarial y normalizarán la informalidad como la única salida económica, limitando el bienestar común y la inversión social en infraestructura para Jicamarca.</w:t>
      </w:r>
    </w:p>
    <w:p w14:paraId="7483E25E" w14:textId="77777777" w:rsidR="003D0B8D" w:rsidRDefault="00000000">
      <w:pPr>
        <w:pBdr>
          <w:top w:val="nil"/>
          <w:left w:val="nil"/>
          <w:bottom w:val="nil"/>
          <w:right w:val="nil"/>
          <w:between w:val="nil"/>
        </w:pBdr>
        <w:spacing w:after="375"/>
      </w:pPr>
      <w:r>
        <w:rPr>
          <w:b/>
          <w:bCs/>
        </w:rPr>
        <w:t>Reto:</w:t>
      </w:r>
      <w:r>
        <w:t xml:space="preserve"> Frente a esta situación, nos planteamos el siguiente desafío: ¿De qué manera nuestras elecciones de consumo diario y la gestión del presupuesto familiar impactan en la estabilidad de nuestro hogar y en el desarrollo económico de Jicamarca? ¿Cómo podemos promover la formalidad y el rechazo a la ilegalidad financiera desde nuestra escuela y nuestras familias?</w:t>
      </w:r>
    </w:p>
    <w:p w14:paraId="02901455" w14:textId="77777777" w:rsidR="003D0B8D" w:rsidRDefault="00000000">
      <w:pPr>
        <w:pStyle w:val="Ttulo2"/>
        <w:spacing w:before="0"/>
      </w:pPr>
      <w:r>
        <w:t>III. PLANIFICACIÓN CURRICULAR (MATRIZ DE COMPETENCIAS Y DESEMPEÑOS PRECISADOS)</w:t>
      </w:r>
    </w:p>
    <w:p w14:paraId="6C68AECF" w14:textId="77777777" w:rsidR="003D0B8D" w:rsidRDefault="00000000">
      <w:pPr>
        <w:pBdr>
          <w:top w:val="nil"/>
          <w:left w:val="nil"/>
          <w:bottom w:val="nil"/>
          <w:right w:val="nil"/>
          <w:between w:val="nil"/>
        </w:pBdr>
        <w:spacing w:line="276" w:lineRule="auto"/>
      </w:pPr>
      <w:r>
        <w:pict w14:anchorId="41C597B6">
          <v:rect id="_x0000_i1027" style="width:0;height:1.5pt" o:hralign="center" o:hrstd="t" o:hr="t" fillcolor="#a0a0a0" stroked="f"/>
        </w:pict>
      </w:r>
    </w:p>
    <w:tbl>
      <w:tblPr>
        <w:tblStyle w:val="a0"/>
        <w:tblW w:w="9360" w:type="dxa"/>
        <w:tblInd w:w="0" w:type="dxa"/>
        <w:tblBorders>
          <w:top w:val="single" w:sz="6" w:space="0" w:color="CBD5E0"/>
          <w:left w:val="single" w:sz="6" w:space="0" w:color="CBD5E0"/>
          <w:bottom w:val="single" w:sz="6" w:space="0" w:color="CBD5E0"/>
          <w:right w:val="single" w:sz="6" w:space="0" w:color="CBD5E0"/>
          <w:insideH w:val="single" w:sz="6" w:space="0" w:color="CBD5E0"/>
          <w:insideV w:val="single" w:sz="6" w:space="0" w:color="CBD5E0"/>
        </w:tblBorders>
        <w:tblLayout w:type="fixed"/>
        <w:tblLook w:val="0600" w:firstRow="0" w:lastRow="0" w:firstColumn="0" w:lastColumn="0" w:noHBand="1" w:noVBand="1"/>
      </w:tblPr>
      <w:tblGrid>
        <w:gridCol w:w="2340"/>
        <w:gridCol w:w="2340"/>
        <w:gridCol w:w="2340"/>
        <w:gridCol w:w="2340"/>
      </w:tblGrid>
      <w:tr w:rsidR="003D0B8D" w14:paraId="59D8E8A0" w14:textId="77777777">
        <w:trPr>
          <w:tblHeader/>
        </w:trPr>
        <w:tc>
          <w:tcPr>
            <w:tcW w:w="2340" w:type="dxa"/>
            <w:tcBorders>
              <w:top w:val="single" w:sz="6" w:space="0" w:color="CBD5E0"/>
              <w:left w:val="single" w:sz="6" w:space="0" w:color="CBD5E0"/>
              <w:bottom w:val="single" w:sz="6" w:space="0" w:color="CBD5E0"/>
              <w:right w:val="single" w:sz="6" w:space="0" w:color="CBD5E0"/>
            </w:tcBorders>
            <w:shd w:val="clear" w:color="auto" w:fill="EBF8FF"/>
            <w:tcMar>
              <w:top w:w="120" w:type="dxa"/>
              <w:left w:w="150" w:type="dxa"/>
              <w:bottom w:w="120" w:type="dxa"/>
              <w:right w:w="150" w:type="dxa"/>
            </w:tcMar>
          </w:tcPr>
          <w:p w14:paraId="0707224F" w14:textId="77777777" w:rsidR="003D0B8D" w:rsidRDefault="00000000">
            <w:pPr>
              <w:pBdr>
                <w:top w:val="nil"/>
                <w:left w:val="nil"/>
                <w:bottom w:val="nil"/>
                <w:right w:val="nil"/>
                <w:between w:val="nil"/>
              </w:pBdr>
              <w:spacing w:before="120" w:after="120"/>
              <w:rPr>
                <w:b/>
                <w:bCs/>
                <w:color w:val="2B6CB0"/>
                <w:sz w:val="20"/>
                <w:szCs w:val="20"/>
              </w:rPr>
            </w:pPr>
            <w:r>
              <w:rPr>
                <w:b/>
                <w:bCs/>
                <w:color w:val="2B6CB0"/>
                <w:sz w:val="20"/>
                <w:szCs w:val="20"/>
              </w:rPr>
              <w:t>COMPETENCIA / CAPACIDADES</w:t>
            </w:r>
          </w:p>
        </w:tc>
        <w:tc>
          <w:tcPr>
            <w:tcW w:w="2340" w:type="dxa"/>
            <w:tcBorders>
              <w:top w:val="single" w:sz="6" w:space="0" w:color="CBD5E0"/>
              <w:left w:val="single" w:sz="6" w:space="0" w:color="CBD5E0"/>
              <w:bottom w:val="single" w:sz="6" w:space="0" w:color="CBD5E0"/>
              <w:right w:val="single" w:sz="6" w:space="0" w:color="CBD5E0"/>
            </w:tcBorders>
            <w:shd w:val="clear" w:color="auto" w:fill="EBF8FF"/>
            <w:tcMar>
              <w:top w:w="120" w:type="dxa"/>
              <w:left w:w="150" w:type="dxa"/>
              <w:bottom w:w="120" w:type="dxa"/>
              <w:right w:w="150" w:type="dxa"/>
            </w:tcMar>
          </w:tcPr>
          <w:p w14:paraId="37BBD27E" w14:textId="77777777" w:rsidR="003D0B8D" w:rsidRDefault="00000000">
            <w:pPr>
              <w:pBdr>
                <w:top w:val="nil"/>
                <w:left w:val="nil"/>
                <w:bottom w:val="nil"/>
                <w:right w:val="nil"/>
                <w:between w:val="nil"/>
              </w:pBdr>
              <w:spacing w:before="120" w:after="120"/>
              <w:rPr>
                <w:b/>
                <w:bCs/>
                <w:color w:val="2B6CB0"/>
                <w:sz w:val="20"/>
                <w:szCs w:val="20"/>
              </w:rPr>
            </w:pPr>
            <w:r>
              <w:rPr>
                <w:b/>
                <w:bCs/>
                <w:color w:val="2B6CB0"/>
                <w:sz w:val="20"/>
                <w:szCs w:val="20"/>
              </w:rPr>
              <w:t>DESEMPEÑOS PRECISADOS (2° SECUNDARIA)</w:t>
            </w:r>
          </w:p>
        </w:tc>
        <w:tc>
          <w:tcPr>
            <w:tcW w:w="2340" w:type="dxa"/>
            <w:tcBorders>
              <w:top w:val="single" w:sz="6" w:space="0" w:color="CBD5E0"/>
              <w:left w:val="single" w:sz="6" w:space="0" w:color="CBD5E0"/>
              <w:bottom w:val="single" w:sz="6" w:space="0" w:color="CBD5E0"/>
              <w:right w:val="single" w:sz="6" w:space="0" w:color="CBD5E0"/>
            </w:tcBorders>
            <w:shd w:val="clear" w:color="auto" w:fill="EBF8FF"/>
            <w:tcMar>
              <w:top w:w="120" w:type="dxa"/>
              <w:left w:w="150" w:type="dxa"/>
              <w:bottom w:w="120" w:type="dxa"/>
              <w:right w:w="150" w:type="dxa"/>
            </w:tcMar>
          </w:tcPr>
          <w:p w14:paraId="3B87028A" w14:textId="77777777" w:rsidR="003D0B8D" w:rsidRDefault="00000000">
            <w:pPr>
              <w:pBdr>
                <w:top w:val="nil"/>
                <w:left w:val="nil"/>
                <w:bottom w:val="nil"/>
                <w:right w:val="nil"/>
                <w:between w:val="nil"/>
              </w:pBdr>
              <w:spacing w:before="120" w:after="120"/>
              <w:rPr>
                <w:b/>
                <w:bCs/>
                <w:color w:val="2B6CB0"/>
                <w:sz w:val="20"/>
                <w:szCs w:val="20"/>
              </w:rPr>
            </w:pPr>
            <w:r>
              <w:rPr>
                <w:b/>
                <w:bCs/>
                <w:color w:val="2B6CB0"/>
                <w:sz w:val="20"/>
                <w:szCs w:val="20"/>
              </w:rPr>
              <w:t>PRODUCTO DE UNIDAD</w:t>
            </w:r>
          </w:p>
        </w:tc>
        <w:tc>
          <w:tcPr>
            <w:tcW w:w="2340" w:type="dxa"/>
            <w:tcBorders>
              <w:top w:val="single" w:sz="6" w:space="0" w:color="CBD5E0"/>
              <w:left w:val="single" w:sz="6" w:space="0" w:color="CBD5E0"/>
              <w:bottom w:val="single" w:sz="6" w:space="0" w:color="CBD5E0"/>
              <w:right w:val="single" w:sz="6" w:space="0" w:color="CBD5E0"/>
            </w:tcBorders>
            <w:shd w:val="clear" w:color="auto" w:fill="EBF8FF"/>
            <w:tcMar>
              <w:top w:w="120" w:type="dxa"/>
              <w:left w:w="150" w:type="dxa"/>
              <w:bottom w:w="120" w:type="dxa"/>
              <w:right w:w="150" w:type="dxa"/>
            </w:tcMar>
          </w:tcPr>
          <w:p w14:paraId="45794F02" w14:textId="77777777" w:rsidR="003D0B8D" w:rsidRDefault="00000000">
            <w:pPr>
              <w:pBdr>
                <w:top w:val="nil"/>
                <w:left w:val="nil"/>
                <w:bottom w:val="nil"/>
                <w:right w:val="nil"/>
                <w:between w:val="nil"/>
              </w:pBdr>
              <w:spacing w:before="120" w:after="120"/>
              <w:rPr>
                <w:b/>
                <w:bCs/>
                <w:color w:val="2B6CB0"/>
                <w:sz w:val="20"/>
                <w:szCs w:val="20"/>
              </w:rPr>
            </w:pPr>
            <w:r>
              <w:rPr>
                <w:b/>
                <w:bCs/>
                <w:color w:val="2B6CB0"/>
                <w:sz w:val="20"/>
                <w:szCs w:val="20"/>
              </w:rPr>
              <w:t>INSTRUMENTO DE EVALUACIÓN</w:t>
            </w:r>
          </w:p>
        </w:tc>
      </w:tr>
      <w:tr w:rsidR="003D0B8D" w14:paraId="7EEA83EF" w14:textId="77777777">
        <w:tc>
          <w:tcPr>
            <w:tcW w:w="2340" w:type="dxa"/>
            <w:tcBorders>
              <w:top w:val="single" w:sz="6" w:space="0" w:color="CBD5E0"/>
              <w:left w:val="single" w:sz="6" w:space="0" w:color="CBD5E0"/>
              <w:bottom w:val="single" w:sz="6" w:space="0" w:color="CBD5E0"/>
              <w:right w:val="single" w:sz="6" w:space="0" w:color="CBD5E0"/>
            </w:tcBorders>
            <w:tcMar>
              <w:top w:w="120" w:type="dxa"/>
              <w:left w:w="150" w:type="dxa"/>
              <w:bottom w:w="120" w:type="dxa"/>
              <w:right w:w="150" w:type="dxa"/>
            </w:tcMar>
          </w:tcPr>
          <w:p w14:paraId="7161275A" w14:textId="77777777" w:rsidR="003D0B8D" w:rsidRDefault="00000000">
            <w:pPr>
              <w:pBdr>
                <w:top w:val="nil"/>
                <w:left w:val="nil"/>
                <w:bottom w:val="nil"/>
                <w:right w:val="nil"/>
                <w:between w:val="nil"/>
              </w:pBdr>
              <w:spacing w:before="120" w:after="120"/>
              <w:ind w:left="300"/>
              <w:rPr>
                <w:b/>
                <w:bCs/>
                <w:sz w:val="20"/>
                <w:szCs w:val="20"/>
              </w:rPr>
            </w:pPr>
            <w:r>
              <w:rPr>
                <w:b/>
                <w:bCs/>
                <w:sz w:val="20"/>
                <w:szCs w:val="20"/>
              </w:rPr>
              <w:t>GESTIONA RESPONSABLEMENTE LOS RECURSOS ECONÓMICOS</w:t>
            </w:r>
          </w:p>
          <w:p w14:paraId="372F90BF" w14:textId="77777777" w:rsidR="003D0B8D" w:rsidRDefault="00000000">
            <w:pPr>
              <w:numPr>
                <w:ilvl w:val="0"/>
                <w:numId w:val="1"/>
              </w:numPr>
              <w:pBdr>
                <w:top w:val="nil"/>
                <w:left w:val="nil"/>
                <w:bottom w:val="nil"/>
                <w:right w:val="nil"/>
                <w:between w:val="nil"/>
              </w:pBdr>
            </w:pPr>
            <w:r>
              <w:rPr>
                <w:sz w:val="20"/>
                <w:szCs w:val="20"/>
              </w:rPr>
              <w:t>Comprende las relaciones entre los elementos del sistema económico y financiero.</w:t>
            </w:r>
          </w:p>
          <w:p w14:paraId="36D0BC57" w14:textId="77777777" w:rsidR="003D0B8D" w:rsidRDefault="00000000">
            <w:pPr>
              <w:numPr>
                <w:ilvl w:val="0"/>
                <w:numId w:val="1"/>
              </w:numPr>
              <w:pBdr>
                <w:top w:val="nil"/>
                <w:left w:val="nil"/>
                <w:bottom w:val="nil"/>
                <w:right w:val="nil"/>
                <w:between w:val="nil"/>
              </w:pBdr>
              <w:spacing w:after="60"/>
            </w:pPr>
            <w:r>
              <w:rPr>
                <w:sz w:val="20"/>
                <w:szCs w:val="20"/>
              </w:rPr>
              <w:t xml:space="preserve">Toma decisiones </w:t>
            </w:r>
            <w:r>
              <w:rPr>
                <w:sz w:val="20"/>
                <w:szCs w:val="20"/>
              </w:rPr>
              <w:lastRenderedPageBreak/>
              <w:t>económicas y financieras.</w:t>
            </w:r>
          </w:p>
        </w:tc>
        <w:tc>
          <w:tcPr>
            <w:tcW w:w="2340" w:type="dxa"/>
            <w:tcBorders>
              <w:top w:val="single" w:sz="6" w:space="0" w:color="CBD5E0"/>
              <w:left w:val="single" w:sz="6" w:space="0" w:color="CBD5E0"/>
              <w:bottom w:val="single" w:sz="6" w:space="0" w:color="CBD5E0"/>
              <w:right w:val="single" w:sz="6" w:space="0" w:color="CBD5E0"/>
            </w:tcBorders>
            <w:tcMar>
              <w:top w:w="120" w:type="dxa"/>
              <w:left w:w="150" w:type="dxa"/>
              <w:bottom w:w="120" w:type="dxa"/>
              <w:right w:w="150" w:type="dxa"/>
            </w:tcMar>
          </w:tcPr>
          <w:p w14:paraId="00D61DFE" w14:textId="77777777" w:rsidR="003D0B8D" w:rsidRDefault="00000000">
            <w:pPr>
              <w:numPr>
                <w:ilvl w:val="0"/>
                <w:numId w:val="2"/>
              </w:numPr>
              <w:pBdr>
                <w:top w:val="nil"/>
                <w:left w:val="nil"/>
                <w:bottom w:val="nil"/>
                <w:right w:val="nil"/>
                <w:between w:val="nil"/>
              </w:pBdr>
            </w:pPr>
            <w:r>
              <w:rPr>
                <w:sz w:val="20"/>
                <w:szCs w:val="20"/>
              </w:rPr>
              <w:lastRenderedPageBreak/>
              <w:t xml:space="preserve">Explica cómo la escasez de los recursos influye en las decisiones que toman los agentes económicos (familias y empresas) y que, frente a ello, se dan interacciones de oferta y demanda en el </w:t>
            </w:r>
            <w:r>
              <w:rPr>
                <w:sz w:val="20"/>
                <w:szCs w:val="20"/>
              </w:rPr>
              <w:lastRenderedPageBreak/>
              <w:t>mercado de bienes y servicios.</w:t>
            </w:r>
          </w:p>
          <w:p w14:paraId="31493838" w14:textId="77777777" w:rsidR="003D0B8D" w:rsidRDefault="00000000">
            <w:pPr>
              <w:numPr>
                <w:ilvl w:val="0"/>
                <w:numId w:val="2"/>
              </w:numPr>
              <w:pBdr>
                <w:top w:val="nil"/>
                <w:left w:val="nil"/>
                <w:bottom w:val="nil"/>
                <w:right w:val="nil"/>
                <w:between w:val="nil"/>
              </w:pBdr>
            </w:pPr>
            <w:r>
              <w:rPr>
                <w:sz w:val="20"/>
                <w:szCs w:val="20"/>
              </w:rPr>
              <w:t>Formula presupuestos personales o del hogar registrando detalladamente todos los egresos y proponiendo un plan sistemático de ahorro para afrontar la incertidumbre económica.</w:t>
            </w:r>
          </w:p>
          <w:p w14:paraId="60FE96DB" w14:textId="77777777" w:rsidR="003D0B8D" w:rsidRDefault="00000000">
            <w:pPr>
              <w:numPr>
                <w:ilvl w:val="0"/>
                <w:numId w:val="2"/>
              </w:numPr>
              <w:pBdr>
                <w:top w:val="nil"/>
                <w:left w:val="nil"/>
                <w:bottom w:val="nil"/>
                <w:right w:val="nil"/>
                <w:between w:val="nil"/>
              </w:pBdr>
            </w:pPr>
            <w:r>
              <w:rPr>
                <w:sz w:val="20"/>
                <w:szCs w:val="20"/>
              </w:rPr>
              <w:t>Toma decisiones como consumidor responsable al ejercer sus derechos y responsabilidades, identificando el impacto de los gastos hormiga y el costo de oportunidad.</w:t>
            </w:r>
          </w:p>
          <w:p w14:paraId="21EE4516" w14:textId="77777777" w:rsidR="003D0B8D" w:rsidRDefault="00000000">
            <w:pPr>
              <w:numPr>
                <w:ilvl w:val="0"/>
                <w:numId w:val="2"/>
              </w:numPr>
              <w:pBdr>
                <w:top w:val="nil"/>
                <w:left w:val="nil"/>
                <w:bottom w:val="nil"/>
                <w:right w:val="nil"/>
                <w:between w:val="nil"/>
              </w:pBdr>
              <w:spacing w:after="60"/>
            </w:pPr>
            <w:r>
              <w:rPr>
                <w:sz w:val="20"/>
                <w:szCs w:val="20"/>
              </w:rPr>
              <w:t xml:space="preserve">Manifiesta una postura explícita de rechazo frente al riesgo que supone para la sociedad optar por la informalidad y la ilegalidad (delitos económicos, contrabando, mafias de préstamos como el "gota a gota") al momento de tomar </w:t>
            </w:r>
            <w:r>
              <w:rPr>
                <w:sz w:val="20"/>
                <w:szCs w:val="20"/>
              </w:rPr>
              <w:lastRenderedPageBreak/>
              <w:t>decisiones financieras.</w:t>
            </w:r>
          </w:p>
        </w:tc>
        <w:tc>
          <w:tcPr>
            <w:tcW w:w="2340" w:type="dxa"/>
            <w:tcBorders>
              <w:top w:val="single" w:sz="6" w:space="0" w:color="CBD5E0"/>
              <w:left w:val="single" w:sz="6" w:space="0" w:color="CBD5E0"/>
              <w:bottom w:val="single" w:sz="6" w:space="0" w:color="CBD5E0"/>
              <w:right w:val="single" w:sz="6" w:space="0" w:color="CBD5E0"/>
            </w:tcBorders>
            <w:tcMar>
              <w:top w:w="120" w:type="dxa"/>
              <w:left w:w="150" w:type="dxa"/>
              <w:bottom w:w="120" w:type="dxa"/>
              <w:right w:w="150" w:type="dxa"/>
            </w:tcMar>
          </w:tcPr>
          <w:p w14:paraId="4CDD1FFA" w14:textId="77777777" w:rsidR="003D0B8D" w:rsidRDefault="00000000">
            <w:pPr>
              <w:pBdr>
                <w:top w:val="nil"/>
                <w:left w:val="nil"/>
                <w:bottom w:val="nil"/>
                <w:right w:val="nil"/>
                <w:between w:val="nil"/>
              </w:pBdr>
              <w:spacing w:before="120" w:after="120"/>
              <w:rPr>
                <w:b/>
                <w:bCs/>
                <w:sz w:val="20"/>
                <w:szCs w:val="20"/>
              </w:rPr>
            </w:pPr>
            <w:r>
              <w:rPr>
                <w:b/>
                <w:bCs/>
                <w:sz w:val="20"/>
                <w:szCs w:val="20"/>
              </w:rPr>
              <w:lastRenderedPageBreak/>
              <w:t>"Presupuesto Familiar Balanceado y Decálogo de la Formalidad Ciudadana"</w:t>
            </w:r>
          </w:p>
          <w:p w14:paraId="5A20A27E" w14:textId="77777777" w:rsidR="003D0B8D" w:rsidRDefault="00000000">
            <w:pPr>
              <w:pBdr>
                <w:top w:val="nil"/>
                <w:left w:val="nil"/>
                <w:bottom w:val="nil"/>
                <w:right w:val="nil"/>
                <w:between w:val="nil"/>
              </w:pBdr>
              <w:spacing w:after="75"/>
              <w:rPr>
                <w:sz w:val="20"/>
                <w:szCs w:val="20"/>
              </w:rPr>
            </w:pPr>
            <w:r>
              <w:rPr>
                <w:sz w:val="20"/>
                <w:szCs w:val="20"/>
              </w:rPr>
              <w:t>Los estudiantes elaborarán:</w:t>
            </w:r>
          </w:p>
          <w:p w14:paraId="3106B276" w14:textId="77777777" w:rsidR="003D0B8D" w:rsidRDefault="00000000">
            <w:pPr>
              <w:numPr>
                <w:ilvl w:val="0"/>
                <w:numId w:val="3"/>
              </w:numPr>
              <w:pBdr>
                <w:top w:val="nil"/>
                <w:left w:val="nil"/>
                <w:bottom w:val="nil"/>
                <w:right w:val="nil"/>
                <w:between w:val="nil"/>
              </w:pBdr>
            </w:pPr>
            <w:r>
              <w:rPr>
                <w:sz w:val="20"/>
                <w:szCs w:val="20"/>
              </w:rPr>
              <w:t xml:space="preserve">Una Bitácora de Registro de Gastos Diarios y Modelo de Presupuesto </w:t>
            </w:r>
            <w:r>
              <w:rPr>
                <w:sz w:val="20"/>
                <w:szCs w:val="20"/>
              </w:rPr>
              <w:lastRenderedPageBreak/>
              <w:t>Familiar con Plan de Ahorro.</w:t>
            </w:r>
          </w:p>
          <w:p w14:paraId="68F927EA" w14:textId="77777777" w:rsidR="003D0B8D" w:rsidRDefault="00000000">
            <w:pPr>
              <w:numPr>
                <w:ilvl w:val="0"/>
                <w:numId w:val="3"/>
              </w:numPr>
              <w:pBdr>
                <w:top w:val="nil"/>
                <w:left w:val="nil"/>
                <w:bottom w:val="nil"/>
                <w:right w:val="nil"/>
                <w:between w:val="nil"/>
              </w:pBdr>
              <w:spacing w:after="60"/>
            </w:pPr>
            <w:r>
              <w:rPr>
                <w:sz w:val="20"/>
                <w:szCs w:val="20"/>
              </w:rPr>
              <w:t>Un Decálogo Ciudadano para promover la formalidad económica y rechazar las redes ilegales de préstamos.</w:t>
            </w:r>
          </w:p>
        </w:tc>
        <w:tc>
          <w:tcPr>
            <w:tcW w:w="2340" w:type="dxa"/>
            <w:tcBorders>
              <w:top w:val="single" w:sz="6" w:space="0" w:color="CBD5E0"/>
              <w:left w:val="single" w:sz="6" w:space="0" w:color="CBD5E0"/>
              <w:bottom w:val="single" w:sz="6" w:space="0" w:color="CBD5E0"/>
              <w:right w:val="single" w:sz="6" w:space="0" w:color="CBD5E0"/>
            </w:tcBorders>
            <w:tcMar>
              <w:top w:w="120" w:type="dxa"/>
              <w:left w:w="150" w:type="dxa"/>
              <w:bottom w:w="120" w:type="dxa"/>
              <w:right w:w="150" w:type="dxa"/>
            </w:tcMar>
          </w:tcPr>
          <w:p w14:paraId="397D2E0D" w14:textId="77777777" w:rsidR="003D0B8D" w:rsidRDefault="00000000">
            <w:pPr>
              <w:numPr>
                <w:ilvl w:val="0"/>
                <w:numId w:val="4"/>
              </w:numPr>
              <w:pBdr>
                <w:top w:val="nil"/>
                <w:left w:val="nil"/>
                <w:bottom w:val="nil"/>
                <w:right w:val="nil"/>
                <w:between w:val="nil"/>
              </w:pBdr>
            </w:pPr>
            <w:r>
              <w:rPr>
                <w:sz w:val="20"/>
                <w:szCs w:val="20"/>
              </w:rPr>
              <w:lastRenderedPageBreak/>
              <w:t>Lista de cotejo</w:t>
            </w:r>
          </w:p>
          <w:p w14:paraId="125C6DBC" w14:textId="77777777" w:rsidR="003D0B8D" w:rsidRDefault="00000000">
            <w:pPr>
              <w:numPr>
                <w:ilvl w:val="0"/>
                <w:numId w:val="4"/>
              </w:numPr>
              <w:pBdr>
                <w:top w:val="nil"/>
                <w:left w:val="nil"/>
                <w:bottom w:val="nil"/>
                <w:right w:val="nil"/>
                <w:between w:val="nil"/>
              </w:pBdr>
              <w:spacing w:after="60"/>
            </w:pPr>
            <w:r>
              <w:rPr>
                <w:sz w:val="20"/>
                <w:szCs w:val="20"/>
              </w:rPr>
              <w:t>Rúbrica analítica para la evaluación del producto final y la sustentación en la Feria Escolar.</w:t>
            </w:r>
          </w:p>
        </w:tc>
      </w:tr>
    </w:tbl>
    <w:p w14:paraId="05D46256" w14:textId="77777777" w:rsidR="003D0B8D" w:rsidRDefault="00000000">
      <w:pPr>
        <w:pStyle w:val="Ttulo2"/>
      </w:pPr>
      <w:r>
        <w:lastRenderedPageBreak/>
        <w:t>IV. ENFOQUES TRANSVERSALES Y VALORES</w:t>
      </w:r>
    </w:p>
    <w:p w14:paraId="3FCD301E" w14:textId="77777777" w:rsidR="003D0B8D" w:rsidRDefault="00000000">
      <w:pPr>
        <w:pBdr>
          <w:top w:val="nil"/>
          <w:left w:val="nil"/>
          <w:bottom w:val="nil"/>
          <w:right w:val="nil"/>
          <w:between w:val="nil"/>
        </w:pBdr>
        <w:spacing w:line="276" w:lineRule="auto"/>
      </w:pPr>
      <w:r>
        <w:pict w14:anchorId="5459FF00">
          <v:rect id="_x0000_i1028" style="width:0;height:1.5pt" o:hralign="center" o:hrstd="t" o:hr="t" fillcolor="#a0a0a0" stroked="f"/>
        </w:pict>
      </w:r>
    </w:p>
    <w:tbl>
      <w:tblPr>
        <w:tblStyle w:val="a1"/>
        <w:tblW w:w="9360" w:type="dxa"/>
        <w:tblInd w:w="0" w:type="dxa"/>
        <w:tblBorders>
          <w:top w:val="single" w:sz="6" w:space="0" w:color="CBD5E0"/>
          <w:left w:val="single" w:sz="6" w:space="0" w:color="CBD5E0"/>
          <w:bottom w:val="single" w:sz="6" w:space="0" w:color="CBD5E0"/>
          <w:right w:val="single" w:sz="6" w:space="0" w:color="CBD5E0"/>
          <w:insideH w:val="single" w:sz="6" w:space="0" w:color="CBD5E0"/>
          <w:insideV w:val="single" w:sz="6" w:space="0" w:color="CBD5E0"/>
        </w:tblBorders>
        <w:tblLayout w:type="fixed"/>
        <w:tblLook w:val="0600" w:firstRow="0" w:lastRow="0" w:firstColumn="0" w:lastColumn="0" w:noHBand="1" w:noVBand="1"/>
      </w:tblPr>
      <w:tblGrid>
        <w:gridCol w:w="3120"/>
        <w:gridCol w:w="3120"/>
        <w:gridCol w:w="3120"/>
      </w:tblGrid>
      <w:tr w:rsidR="003D0B8D" w14:paraId="436C61F7" w14:textId="77777777">
        <w:trPr>
          <w:tblHeader/>
        </w:trPr>
        <w:tc>
          <w:tcPr>
            <w:tcW w:w="3120" w:type="dxa"/>
            <w:tcBorders>
              <w:top w:val="single" w:sz="6" w:space="0" w:color="CBD5E0"/>
              <w:left w:val="single" w:sz="6" w:space="0" w:color="CBD5E0"/>
              <w:bottom w:val="single" w:sz="6" w:space="0" w:color="CBD5E0"/>
              <w:right w:val="single" w:sz="6" w:space="0" w:color="CBD5E0"/>
            </w:tcBorders>
            <w:shd w:val="clear" w:color="auto" w:fill="EBF8FF"/>
            <w:tcMar>
              <w:top w:w="120" w:type="dxa"/>
              <w:left w:w="150" w:type="dxa"/>
              <w:bottom w:w="120" w:type="dxa"/>
              <w:right w:w="150" w:type="dxa"/>
            </w:tcMar>
          </w:tcPr>
          <w:p w14:paraId="3DBBD58D" w14:textId="77777777" w:rsidR="003D0B8D" w:rsidRDefault="00000000">
            <w:pPr>
              <w:pBdr>
                <w:top w:val="nil"/>
                <w:left w:val="nil"/>
                <w:bottom w:val="nil"/>
                <w:right w:val="nil"/>
                <w:between w:val="nil"/>
              </w:pBdr>
              <w:spacing w:before="120" w:after="120"/>
              <w:rPr>
                <w:b/>
                <w:bCs/>
                <w:color w:val="2B6CB0"/>
                <w:sz w:val="20"/>
                <w:szCs w:val="20"/>
              </w:rPr>
            </w:pPr>
            <w:r>
              <w:rPr>
                <w:b/>
                <w:bCs/>
                <w:color w:val="2B6CB0"/>
                <w:sz w:val="20"/>
                <w:szCs w:val="20"/>
              </w:rPr>
              <w:t>ENFOQUE TRANSVERSAL</w:t>
            </w:r>
          </w:p>
        </w:tc>
        <w:tc>
          <w:tcPr>
            <w:tcW w:w="3120" w:type="dxa"/>
            <w:tcBorders>
              <w:top w:val="single" w:sz="6" w:space="0" w:color="CBD5E0"/>
              <w:left w:val="single" w:sz="6" w:space="0" w:color="CBD5E0"/>
              <w:bottom w:val="single" w:sz="6" w:space="0" w:color="CBD5E0"/>
              <w:right w:val="single" w:sz="6" w:space="0" w:color="CBD5E0"/>
            </w:tcBorders>
            <w:shd w:val="clear" w:color="auto" w:fill="EBF8FF"/>
            <w:tcMar>
              <w:top w:w="120" w:type="dxa"/>
              <w:left w:w="150" w:type="dxa"/>
              <w:bottom w:w="120" w:type="dxa"/>
              <w:right w:w="150" w:type="dxa"/>
            </w:tcMar>
          </w:tcPr>
          <w:p w14:paraId="69FC5637" w14:textId="77777777" w:rsidR="003D0B8D" w:rsidRDefault="00000000">
            <w:pPr>
              <w:pBdr>
                <w:top w:val="nil"/>
                <w:left w:val="nil"/>
                <w:bottom w:val="nil"/>
                <w:right w:val="nil"/>
                <w:between w:val="nil"/>
              </w:pBdr>
              <w:spacing w:before="120" w:after="120"/>
              <w:rPr>
                <w:b/>
                <w:bCs/>
                <w:color w:val="2B6CB0"/>
                <w:sz w:val="20"/>
                <w:szCs w:val="20"/>
              </w:rPr>
            </w:pPr>
            <w:r>
              <w:rPr>
                <w:b/>
                <w:bCs/>
                <w:color w:val="2B6CB0"/>
                <w:sz w:val="20"/>
                <w:szCs w:val="20"/>
              </w:rPr>
              <w:t>VALORES</w:t>
            </w:r>
          </w:p>
        </w:tc>
        <w:tc>
          <w:tcPr>
            <w:tcW w:w="3120" w:type="dxa"/>
            <w:tcBorders>
              <w:top w:val="single" w:sz="6" w:space="0" w:color="CBD5E0"/>
              <w:left w:val="single" w:sz="6" w:space="0" w:color="CBD5E0"/>
              <w:bottom w:val="single" w:sz="6" w:space="0" w:color="CBD5E0"/>
              <w:right w:val="single" w:sz="6" w:space="0" w:color="CBD5E0"/>
            </w:tcBorders>
            <w:shd w:val="clear" w:color="auto" w:fill="EBF8FF"/>
            <w:tcMar>
              <w:top w:w="120" w:type="dxa"/>
              <w:left w:w="150" w:type="dxa"/>
              <w:bottom w:w="120" w:type="dxa"/>
              <w:right w:w="150" w:type="dxa"/>
            </w:tcMar>
          </w:tcPr>
          <w:p w14:paraId="10846D93" w14:textId="77777777" w:rsidR="003D0B8D" w:rsidRDefault="00000000">
            <w:pPr>
              <w:pBdr>
                <w:top w:val="nil"/>
                <w:left w:val="nil"/>
                <w:bottom w:val="nil"/>
                <w:right w:val="nil"/>
                <w:between w:val="nil"/>
              </w:pBdr>
              <w:spacing w:before="120" w:after="120"/>
              <w:rPr>
                <w:b/>
                <w:bCs/>
                <w:color w:val="2B6CB0"/>
                <w:sz w:val="20"/>
                <w:szCs w:val="20"/>
              </w:rPr>
            </w:pPr>
            <w:r>
              <w:rPr>
                <w:b/>
                <w:bCs/>
                <w:color w:val="2B6CB0"/>
                <w:sz w:val="20"/>
                <w:szCs w:val="20"/>
              </w:rPr>
              <w:t>TRATAMIENTO DEL ENFOQUE: ACTITUDES QUE DEMUESTRAN</w:t>
            </w:r>
          </w:p>
        </w:tc>
      </w:tr>
      <w:tr w:rsidR="003D0B8D" w14:paraId="2545FAB8" w14:textId="77777777">
        <w:tc>
          <w:tcPr>
            <w:tcW w:w="3120" w:type="dxa"/>
            <w:tcBorders>
              <w:top w:val="single" w:sz="6" w:space="0" w:color="CBD5E0"/>
              <w:left w:val="single" w:sz="6" w:space="0" w:color="CBD5E0"/>
              <w:bottom w:val="single" w:sz="6" w:space="0" w:color="CBD5E0"/>
              <w:right w:val="single" w:sz="6" w:space="0" w:color="CBD5E0"/>
            </w:tcBorders>
            <w:tcMar>
              <w:top w:w="120" w:type="dxa"/>
              <w:left w:w="150" w:type="dxa"/>
              <w:bottom w:w="120" w:type="dxa"/>
              <w:right w:w="150" w:type="dxa"/>
            </w:tcMar>
          </w:tcPr>
          <w:p w14:paraId="2FF71819" w14:textId="77777777" w:rsidR="003D0B8D" w:rsidRDefault="00000000">
            <w:pPr>
              <w:pBdr>
                <w:top w:val="nil"/>
                <w:left w:val="nil"/>
                <w:bottom w:val="nil"/>
                <w:right w:val="nil"/>
                <w:between w:val="nil"/>
              </w:pBdr>
              <w:spacing w:before="120" w:after="120"/>
              <w:rPr>
                <w:b/>
                <w:bCs/>
                <w:sz w:val="20"/>
                <w:szCs w:val="20"/>
              </w:rPr>
            </w:pPr>
            <w:r>
              <w:rPr>
                <w:b/>
                <w:bCs/>
                <w:sz w:val="20"/>
                <w:szCs w:val="20"/>
              </w:rPr>
              <w:t>Enfoque de Orientación al Bien Común</w:t>
            </w:r>
          </w:p>
        </w:tc>
        <w:tc>
          <w:tcPr>
            <w:tcW w:w="3120" w:type="dxa"/>
            <w:tcBorders>
              <w:top w:val="single" w:sz="6" w:space="0" w:color="CBD5E0"/>
              <w:left w:val="single" w:sz="6" w:space="0" w:color="CBD5E0"/>
              <w:bottom w:val="single" w:sz="6" w:space="0" w:color="CBD5E0"/>
              <w:right w:val="single" w:sz="6" w:space="0" w:color="CBD5E0"/>
            </w:tcBorders>
            <w:tcMar>
              <w:top w:w="120" w:type="dxa"/>
              <w:left w:w="150" w:type="dxa"/>
              <w:bottom w:w="120" w:type="dxa"/>
              <w:right w:w="150" w:type="dxa"/>
            </w:tcMar>
          </w:tcPr>
          <w:p w14:paraId="356448FB" w14:textId="77777777" w:rsidR="003D0B8D" w:rsidRDefault="00000000">
            <w:pPr>
              <w:pBdr>
                <w:top w:val="nil"/>
                <w:left w:val="nil"/>
                <w:bottom w:val="nil"/>
                <w:right w:val="nil"/>
                <w:between w:val="nil"/>
              </w:pBdr>
              <w:rPr>
                <w:sz w:val="20"/>
                <w:szCs w:val="20"/>
              </w:rPr>
            </w:pPr>
            <w:r>
              <w:rPr>
                <w:sz w:val="20"/>
                <w:szCs w:val="20"/>
              </w:rPr>
              <w:t>Solidaridad</w:t>
            </w:r>
          </w:p>
          <w:p w14:paraId="63508D1D" w14:textId="77777777" w:rsidR="003D0B8D" w:rsidRDefault="00000000">
            <w:pPr>
              <w:pBdr>
                <w:top w:val="nil"/>
                <w:left w:val="nil"/>
                <w:bottom w:val="nil"/>
                <w:right w:val="nil"/>
                <w:between w:val="nil"/>
              </w:pBdr>
              <w:spacing w:before="120" w:after="120"/>
              <w:rPr>
                <w:sz w:val="20"/>
                <w:szCs w:val="20"/>
              </w:rPr>
            </w:pPr>
            <w:r>
              <w:rPr>
                <w:sz w:val="20"/>
                <w:szCs w:val="20"/>
              </w:rPr>
              <w:t>Responsabilidad</w:t>
            </w:r>
          </w:p>
        </w:tc>
        <w:tc>
          <w:tcPr>
            <w:tcW w:w="3120" w:type="dxa"/>
            <w:tcBorders>
              <w:top w:val="single" w:sz="6" w:space="0" w:color="CBD5E0"/>
              <w:left w:val="single" w:sz="6" w:space="0" w:color="CBD5E0"/>
              <w:bottom w:val="single" w:sz="6" w:space="0" w:color="CBD5E0"/>
              <w:right w:val="single" w:sz="6" w:space="0" w:color="CBD5E0"/>
            </w:tcBorders>
            <w:tcMar>
              <w:top w:w="120" w:type="dxa"/>
              <w:left w:w="150" w:type="dxa"/>
              <w:bottom w:w="120" w:type="dxa"/>
              <w:right w:w="150" w:type="dxa"/>
            </w:tcMar>
          </w:tcPr>
          <w:p w14:paraId="244279C3" w14:textId="77777777" w:rsidR="003D0B8D" w:rsidRDefault="00000000">
            <w:pPr>
              <w:pBdr>
                <w:top w:val="nil"/>
                <w:left w:val="nil"/>
                <w:bottom w:val="nil"/>
                <w:right w:val="nil"/>
                <w:between w:val="nil"/>
              </w:pBdr>
              <w:spacing w:before="120" w:after="120"/>
              <w:rPr>
                <w:sz w:val="20"/>
                <w:szCs w:val="20"/>
              </w:rPr>
            </w:pPr>
            <w:r>
              <w:rPr>
                <w:sz w:val="20"/>
                <w:szCs w:val="20"/>
              </w:rPr>
              <w:t>Los estudiantes reconocen que el ahorro disciplinado, el registro transparente de gastos en el hogar y el cumplimiento de las obligaciones tributarias (exigir boleta) optimizan los recursos públicos y privados en beneficio de toda la comunidad de Jicamarca.</w:t>
            </w:r>
          </w:p>
        </w:tc>
      </w:tr>
      <w:tr w:rsidR="003D0B8D" w14:paraId="45FDA247" w14:textId="77777777">
        <w:tc>
          <w:tcPr>
            <w:tcW w:w="3120" w:type="dxa"/>
            <w:tcBorders>
              <w:top w:val="single" w:sz="6" w:space="0" w:color="CBD5E0"/>
              <w:left w:val="single" w:sz="6" w:space="0" w:color="CBD5E0"/>
              <w:bottom w:val="single" w:sz="6" w:space="0" w:color="CBD5E0"/>
              <w:right w:val="single" w:sz="6" w:space="0" w:color="CBD5E0"/>
            </w:tcBorders>
            <w:tcMar>
              <w:top w:w="120" w:type="dxa"/>
              <w:left w:w="150" w:type="dxa"/>
              <w:bottom w:w="120" w:type="dxa"/>
              <w:right w:w="150" w:type="dxa"/>
            </w:tcMar>
          </w:tcPr>
          <w:p w14:paraId="08B02643" w14:textId="77777777" w:rsidR="003D0B8D" w:rsidRDefault="00000000">
            <w:pPr>
              <w:pBdr>
                <w:top w:val="nil"/>
                <w:left w:val="nil"/>
                <w:bottom w:val="nil"/>
                <w:right w:val="nil"/>
                <w:between w:val="nil"/>
              </w:pBdr>
              <w:spacing w:before="120" w:after="120"/>
              <w:rPr>
                <w:b/>
                <w:bCs/>
                <w:sz w:val="20"/>
                <w:szCs w:val="20"/>
              </w:rPr>
            </w:pPr>
            <w:r>
              <w:rPr>
                <w:b/>
                <w:bCs/>
                <w:sz w:val="20"/>
                <w:szCs w:val="20"/>
              </w:rPr>
              <w:t>Enfoque de Derechos</w:t>
            </w:r>
          </w:p>
        </w:tc>
        <w:tc>
          <w:tcPr>
            <w:tcW w:w="3120" w:type="dxa"/>
            <w:tcBorders>
              <w:top w:val="single" w:sz="6" w:space="0" w:color="CBD5E0"/>
              <w:left w:val="single" w:sz="6" w:space="0" w:color="CBD5E0"/>
              <w:bottom w:val="single" w:sz="6" w:space="0" w:color="CBD5E0"/>
              <w:right w:val="single" w:sz="6" w:space="0" w:color="CBD5E0"/>
            </w:tcBorders>
            <w:tcMar>
              <w:top w:w="120" w:type="dxa"/>
              <w:left w:w="150" w:type="dxa"/>
              <w:bottom w:w="120" w:type="dxa"/>
              <w:right w:w="150" w:type="dxa"/>
            </w:tcMar>
          </w:tcPr>
          <w:p w14:paraId="68B87B67" w14:textId="77777777" w:rsidR="003D0B8D" w:rsidRDefault="00000000">
            <w:pPr>
              <w:pBdr>
                <w:top w:val="nil"/>
                <w:left w:val="nil"/>
                <w:bottom w:val="nil"/>
                <w:right w:val="nil"/>
                <w:between w:val="nil"/>
              </w:pBdr>
              <w:rPr>
                <w:sz w:val="20"/>
                <w:szCs w:val="20"/>
              </w:rPr>
            </w:pPr>
            <w:r>
              <w:rPr>
                <w:sz w:val="20"/>
                <w:szCs w:val="20"/>
              </w:rPr>
              <w:t>Conciencia de derechos</w:t>
            </w:r>
          </w:p>
          <w:p w14:paraId="08631EEC" w14:textId="77777777" w:rsidR="003D0B8D" w:rsidRDefault="00000000">
            <w:pPr>
              <w:pBdr>
                <w:top w:val="nil"/>
                <w:left w:val="nil"/>
                <w:bottom w:val="nil"/>
                <w:right w:val="nil"/>
                <w:between w:val="nil"/>
              </w:pBdr>
              <w:spacing w:before="120" w:after="120"/>
              <w:rPr>
                <w:sz w:val="20"/>
                <w:szCs w:val="20"/>
              </w:rPr>
            </w:pPr>
            <w:r>
              <w:rPr>
                <w:sz w:val="20"/>
                <w:szCs w:val="20"/>
              </w:rPr>
              <w:t>Diálogo</w:t>
            </w:r>
          </w:p>
        </w:tc>
        <w:tc>
          <w:tcPr>
            <w:tcW w:w="3120" w:type="dxa"/>
            <w:tcBorders>
              <w:top w:val="single" w:sz="6" w:space="0" w:color="CBD5E0"/>
              <w:left w:val="single" w:sz="6" w:space="0" w:color="CBD5E0"/>
              <w:bottom w:val="single" w:sz="6" w:space="0" w:color="CBD5E0"/>
              <w:right w:val="single" w:sz="6" w:space="0" w:color="CBD5E0"/>
            </w:tcBorders>
            <w:tcMar>
              <w:top w:w="120" w:type="dxa"/>
              <w:left w:w="150" w:type="dxa"/>
              <w:bottom w:w="120" w:type="dxa"/>
              <w:right w:w="150" w:type="dxa"/>
            </w:tcMar>
          </w:tcPr>
          <w:p w14:paraId="5DA60AEA" w14:textId="77777777" w:rsidR="003D0B8D" w:rsidRDefault="00000000">
            <w:pPr>
              <w:pBdr>
                <w:top w:val="nil"/>
                <w:left w:val="nil"/>
                <w:bottom w:val="nil"/>
                <w:right w:val="nil"/>
                <w:between w:val="nil"/>
              </w:pBdr>
              <w:spacing w:before="120" w:after="120"/>
              <w:rPr>
                <w:sz w:val="20"/>
                <w:szCs w:val="20"/>
              </w:rPr>
            </w:pPr>
            <w:r>
              <w:rPr>
                <w:sz w:val="20"/>
                <w:szCs w:val="20"/>
              </w:rPr>
              <w:t>Los estudiantes deliberan críticamente sobre los mecanismos de protección al consumidor (INDECOPI) y ejercen su derecho a no ser vulnerados por sistemas financieros ilegales o usureros.</w:t>
            </w:r>
          </w:p>
        </w:tc>
      </w:tr>
      <w:tr w:rsidR="003D0B8D" w14:paraId="0F503665" w14:textId="77777777">
        <w:tc>
          <w:tcPr>
            <w:tcW w:w="3120" w:type="dxa"/>
            <w:tcBorders>
              <w:top w:val="single" w:sz="6" w:space="0" w:color="CBD5E0"/>
              <w:left w:val="single" w:sz="6" w:space="0" w:color="CBD5E0"/>
              <w:bottom w:val="single" w:sz="6" w:space="0" w:color="CBD5E0"/>
              <w:right w:val="single" w:sz="6" w:space="0" w:color="CBD5E0"/>
            </w:tcBorders>
            <w:tcMar>
              <w:top w:w="120" w:type="dxa"/>
              <w:left w:w="150" w:type="dxa"/>
              <w:bottom w:w="120" w:type="dxa"/>
              <w:right w:w="150" w:type="dxa"/>
            </w:tcMar>
          </w:tcPr>
          <w:p w14:paraId="2E474D85" w14:textId="77777777" w:rsidR="003D0B8D" w:rsidRDefault="00000000">
            <w:pPr>
              <w:pBdr>
                <w:top w:val="nil"/>
                <w:left w:val="nil"/>
                <w:bottom w:val="nil"/>
                <w:right w:val="nil"/>
                <w:between w:val="nil"/>
              </w:pBdr>
              <w:spacing w:before="120" w:after="120"/>
              <w:rPr>
                <w:b/>
                <w:bCs/>
                <w:sz w:val="20"/>
                <w:szCs w:val="20"/>
              </w:rPr>
            </w:pPr>
            <w:r>
              <w:rPr>
                <w:b/>
                <w:bCs/>
                <w:sz w:val="20"/>
                <w:szCs w:val="20"/>
              </w:rPr>
              <w:t>Enfoque Búsqueda de la Excelencia</w:t>
            </w:r>
          </w:p>
        </w:tc>
        <w:tc>
          <w:tcPr>
            <w:tcW w:w="3120" w:type="dxa"/>
            <w:tcBorders>
              <w:top w:val="single" w:sz="6" w:space="0" w:color="CBD5E0"/>
              <w:left w:val="single" w:sz="6" w:space="0" w:color="CBD5E0"/>
              <w:bottom w:val="single" w:sz="6" w:space="0" w:color="CBD5E0"/>
              <w:right w:val="single" w:sz="6" w:space="0" w:color="CBD5E0"/>
            </w:tcBorders>
            <w:tcMar>
              <w:top w:w="120" w:type="dxa"/>
              <w:left w:w="150" w:type="dxa"/>
              <w:bottom w:w="120" w:type="dxa"/>
              <w:right w:w="150" w:type="dxa"/>
            </w:tcMar>
          </w:tcPr>
          <w:p w14:paraId="0075A4FD" w14:textId="77777777" w:rsidR="003D0B8D" w:rsidRDefault="00000000">
            <w:pPr>
              <w:pBdr>
                <w:top w:val="nil"/>
                <w:left w:val="nil"/>
                <w:bottom w:val="nil"/>
                <w:right w:val="nil"/>
                <w:between w:val="nil"/>
              </w:pBdr>
              <w:spacing w:before="120" w:after="120"/>
              <w:rPr>
                <w:sz w:val="20"/>
                <w:szCs w:val="20"/>
              </w:rPr>
            </w:pPr>
            <w:r>
              <w:rPr>
                <w:sz w:val="20"/>
                <w:szCs w:val="20"/>
              </w:rPr>
              <w:t>Flexibilidad y apertura</w:t>
            </w:r>
          </w:p>
        </w:tc>
        <w:tc>
          <w:tcPr>
            <w:tcW w:w="3120" w:type="dxa"/>
            <w:tcBorders>
              <w:top w:val="single" w:sz="6" w:space="0" w:color="CBD5E0"/>
              <w:left w:val="single" w:sz="6" w:space="0" w:color="CBD5E0"/>
              <w:bottom w:val="single" w:sz="6" w:space="0" w:color="CBD5E0"/>
              <w:right w:val="single" w:sz="6" w:space="0" w:color="CBD5E0"/>
            </w:tcBorders>
            <w:tcMar>
              <w:top w:w="120" w:type="dxa"/>
              <w:left w:w="150" w:type="dxa"/>
              <w:bottom w:w="120" w:type="dxa"/>
              <w:right w:w="150" w:type="dxa"/>
            </w:tcMar>
          </w:tcPr>
          <w:p w14:paraId="3C471DD5" w14:textId="77777777" w:rsidR="003D0B8D" w:rsidRDefault="00000000">
            <w:pPr>
              <w:pBdr>
                <w:top w:val="nil"/>
                <w:left w:val="nil"/>
                <w:bottom w:val="nil"/>
                <w:right w:val="nil"/>
                <w:between w:val="nil"/>
              </w:pBdr>
              <w:spacing w:before="120" w:after="120"/>
              <w:rPr>
                <w:sz w:val="20"/>
                <w:szCs w:val="20"/>
              </w:rPr>
            </w:pPr>
            <w:r>
              <w:rPr>
                <w:sz w:val="20"/>
                <w:szCs w:val="20"/>
              </w:rPr>
              <w:t xml:space="preserve">Los estudiantes muestran disposición para adaptar sus hábitos de consumo individuales a la realidad presupuestal de sus hogares, organizando eficientemente los </w:t>
            </w:r>
            <w:r>
              <w:rPr>
                <w:sz w:val="20"/>
                <w:szCs w:val="20"/>
              </w:rPr>
              <w:lastRenderedPageBreak/>
              <w:t>egresos familiares.</w:t>
            </w:r>
          </w:p>
        </w:tc>
      </w:tr>
    </w:tbl>
    <w:p w14:paraId="1343809C" w14:textId="77777777" w:rsidR="003D0B8D" w:rsidRDefault="00000000">
      <w:pPr>
        <w:pStyle w:val="Ttulo2"/>
        <w:spacing w:after="285"/>
      </w:pPr>
      <w:r>
        <w:lastRenderedPageBreak/>
        <w:t>V. SECUENCIA DIDÁCTICA ORGANIZADA EN SESIONES DE APRENDIZAJE</w:t>
      </w:r>
    </w:p>
    <w:p w14:paraId="1FA991D4" w14:textId="77777777" w:rsidR="003D0B8D" w:rsidRDefault="00000000">
      <w:pPr>
        <w:pStyle w:val="Ttulo3"/>
        <w:spacing w:before="0"/>
      </w:pPr>
      <w:r>
        <w:pict w14:anchorId="1B9893B2">
          <v:rect id="_x0000_i1029" style="width:0;height:1.5pt" o:hralign="center" o:hrstd="t" o:hr="t" fillcolor="#a0a0a0" stroked="f"/>
        </w:pict>
      </w:r>
      <w:r>
        <w:t>SESIÓN 1: «¿EN QUÉ SE NOS VA EL DINERO? EL REGISTRO DE GASTOS Y LA IDENTIFICACIÓN DE FUGAS FINANCIERAS»</w:t>
      </w:r>
    </w:p>
    <w:p w14:paraId="474C2B7C" w14:textId="77777777" w:rsidR="003D0B8D" w:rsidRDefault="00000000">
      <w:pPr>
        <w:numPr>
          <w:ilvl w:val="0"/>
          <w:numId w:val="5"/>
        </w:numPr>
        <w:pBdr>
          <w:top w:val="nil"/>
          <w:left w:val="nil"/>
          <w:bottom w:val="nil"/>
          <w:right w:val="nil"/>
          <w:between w:val="nil"/>
        </w:pBdr>
      </w:pPr>
      <w:r>
        <w:rPr>
          <w:b/>
          <w:bCs/>
        </w:rPr>
        <w:t>Propósito:</w:t>
      </w:r>
      <w:r>
        <w:t xml:space="preserve"> Analizar cómo los patrones de consumo diario y la falta de control de egresos afectan el presupuesto del hogar, aprendiendo a identificar los "gastos hormiga" y a clasificar las necesidades prioritarias frente a los gustos prescindibles para afrontar el alza de precios de la canasta básica.</w:t>
      </w:r>
    </w:p>
    <w:p w14:paraId="502D1A19" w14:textId="77777777" w:rsidR="003D0B8D" w:rsidRDefault="00000000">
      <w:pPr>
        <w:numPr>
          <w:ilvl w:val="0"/>
          <w:numId w:val="5"/>
        </w:numPr>
        <w:pBdr>
          <w:top w:val="nil"/>
          <w:left w:val="nil"/>
          <w:bottom w:val="nil"/>
          <w:right w:val="nil"/>
          <w:between w:val="nil"/>
        </w:pBdr>
      </w:pPr>
      <w:r>
        <w:rPr>
          <w:b/>
          <w:bCs/>
        </w:rPr>
        <w:t>Evidencia:</w:t>
      </w:r>
      <w:r>
        <w:t xml:space="preserve"> Bitácora / Ficha de control de compras diarias del hogar (durante una semana) que clasifica los egresos entre gastos necesarios, prescindibles y "gastos hormiga".</w:t>
      </w:r>
    </w:p>
    <w:p w14:paraId="6D4F1A0E" w14:textId="77777777" w:rsidR="003D0B8D" w:rsidRDefault="00000000">
      <w:pPr>
        <w:numPr>
          <w:ilvl w:val="0"/>
          <w:numId w:val="5"/>
        </w:numPr>
        <w:pBdr>
          <w:top w:val="nil"/>
          <w:left w:val="nil"/>
          <w:bottom w:val="nil"/>
          <w:right w:val="nil"/>
          <w:between w:val="nil"/>
        </w:pBdr>
      </w:pPr>
      <w:r>
        <w:rPr>
          <w:b/>
          <w:bCs/>
        </w:rPr>
        <w:t>Criterios de Evaluación:</w:t>
      </w:r>
    </w:p>
    <w:p w14:paraId="0EA77749" w14:textId="77777777" w:rsidR="003D0B8D" w:rsidRDefault="00000000">
      <w:pPr>
        <w:numPr>
          <w:ilvl w:val="1"/>
          <w:numId w:val="6"/>
        </w:numPr>
        <w:pBdr>
          <w:top w:val="nil"/>
          <w:left w:val="nil"/>
          <w:bottom w:val="nil"/>
          <w:right w:val="nil"/>
          <w:between w:val="nil"/>
        </w:pBdr>
      </w:pPr>
      <w:r>
        <w:t>Categoriza los gastos familiares en bienes de primera necesidad y consumo prescindible.</w:t>
      </w:r>
    </w:p>
    <w:p w14:paraId="4997EA16" w14:textId="77777777" w:rsidR="003D0B8D" w:rsidRDefault="00000000">
      <w:pPr>
        <w:numPr>
          <w:ilvl w:val="1"/>
          <w:numId w:val="6"/>
        </w:numPr>
        <w:pBdr>
          <w:top w:val="nil"/>
          <w:left w:val="nil"/>
          <w:bottom w:val="nil"/>
          <w:right w:val="nil"/>
          <w:between w:val="nil"/>
        </w:pBdr>
      </w:pPr>
      <w:r>
        <w:t>Organiza de forma ordenada y cronológica el registro de egresos diarios del hogar.</w:t>
      </w:r>
    </w:p>
    <w:p w14:paraId="63FC1B2B" w14:textId="77777777" w:rsidR="003D0B8D" w:rsidRDefault="00000000">
      <w:pPr>
        <w:numPr>
          <w:ilvl w:val="1"/>
          <w:numId w:val="6"/>
        </w:numPr>
        <w:pBdr>
          <w:top w:val="nil"/>
          <w:left w:val="nil"/>
          <w:bottom w:val="nil"/>
          <w:right w:val="nil"/>
          <w:between w:val="nil"/>
        </w:pBdr>
      </w:pPr>
      <w:r>
        <w:t>Identifica el costo de oportunidad en sus decisiones diarias de consumo.</w:t>
      </w:r>
    </w:p>
    <w:p w14:paraId="59AB1DE8" w14:textId="77777777" w:rsidR="003D0B8D" w:rsidRDefault="00000000">
      <w:pPr>
        <w:numPr>
          <w:ilvl w:val="0"/>
          <w:numId w:val="5"/>
        </w:numPr>
        <w:pBdr>
          <w:top w:val="nil"/>
          <w:left w:val="nil"/>
          <w:bottom w:val="nil"/>
          <w:right w:val="nil"/>
          <w:between w:val="nil"/>
        </w:pBdr>
      </w:pPr>
      <w:r>
        <w:rPr>
          <w:b/>
          <w:bCs/>
        </w:rPr>
        <w:t>Gestión del Riesgo / Simulacro:</w:t>
      </w:r>
      <w:r>
        <w:t xml:space="preserve"> Organización de las brigadas de evacuación en el aula y reconocimiento de zonas seguras ante sismos.</w:t>
      </w:r>
    </w:p>
    <w:p w14:paraId="14A72C98" w14:textId="77777777" w:rsidR="003D0B8D" w:rsidRDefault="00000000">
      <w:pPr>
        <w:numPr>
          <w:ilvl w:val="0"/>
          <w:numId w:val="5"/>
        </w:numPr>
        <w:pBdr>
          <w:top w:val="nil"/>
          <w:left w:val="nil"/>
          <w:bottom w:val="nil"/>
          <w:right w:val="nil"/>
          <w:between w:val="nil"/>
        </w:pBdr>
        <w:spacing w:after="60"/>
      </w:pPr>
      <w:r>
        <w:rPr>
          <w:b/>
          <w:bCs/>
        </w:rPr>
        <w:t>Estrategias DUA:</w:t>
      </w:r>
      <w:r>
        <w:t xml:space="preserve"> Uso de plantillas visuales con códigos de colores (rojo para gastos prescindibles, verde para necesidades primarias) y "Muro Visual" interactivo con recortables de productos comunes del mercado local de Jicamarca.</w:t>
      </w:r>
    </w:p>
    <w:p w14:paraId="6C66787E" w14:textId="77777777" w:rsidR="003D0B8D" w:rsidRDefault="00000000">
      <w:pPr>
        <w:pStyle w:val="Ttulo3"/>
      </w:pPr>
      <w:r>
        <w:t>SESIÓN 2: «CULTIVANDO EL FUTURO: EL AHORRO Y LA GESTIÓN DEL PRESUPUESTO FAMILIAR ANTE LA INCERTIDUMBRE»</w:t>
      </w:r>
    </w:p>
    <w:p w14:paraId="3229593C" w14:textId="77777777" w:rsidR="003D0B8D" w:rsidRDefault="00000000">
      <w:pPr>
        <w:numPr>
          <w:ilvl w:val="0"/>
          <w:numId w:val="7"/>
        </w:numPr>
        <w:pBdr>
          <w:top w:val="nil"/>
          <w:left w:val="nil"/>
          <w:bottom w:val="nil"/>
          <w:right w:val="nil"/>
          <w:between w:val="nil"/>
        </w:pBdr>
      </w:pPr>
      <w:r>
        <w:rPr>
          <w:b/>
          <w:bCs/>
        </w:rPr>
        <w:t>Propósito:</w:t>
      </w:r>
      <w:r>
        <w:t xml:space="preserve"> Formular un presupuesto familiar balanceado y un plan de ahorro sistemático que permita a las familias con ingresos independientes contar con un fondo de reserva ante imprevistos, reduciendo la vulnerabilidad económica.</w:t>
      </w:r>
    </w:p>
    <w:p w14:paraId="77511628" w14:textId="77777777" w:rsidR="003D0B8D" w:rsidRDefault="00000000">
      <w:pPr>
        <w:numPr>
          <w:ilvl w:val="0"/>
          <w:numId w:val="7"/>
        </w:numPr>
        <w:pBdr>
          <w:top w:val="nil"/>
          <w:left w:val="nil"/>
          <w:bottom w:val="nil"/>
          <w:right w:val="nil"/>
          <w:between w:val="nil"/>
        </w:pBdr>
      </w:pPr>
      <w:r>
        <w:rPr>
          <w:b/>
          <w:bCs/>
        </w:rPr>
        <w:t>Evidencia:</w:t>
      </w:r>
      <w:r>
        <w:t xml:space="preserve"> Modelo de Presupuesto Familiar Balanceado que incluye un Plan Personal y Familiar de Ahorro a corto y mediano plazo (definición de metas, cálculo de capacidad de ahorro y fondo de emergencia).</w:t>
      </w:r>
    </w:p>
    <w:p w14:paraId="7CCBE1AE" w14:textId="77777777" w:rsidR="003D0B8D" w:rsidRDefault="00000000">
      <w:pPr>
        <w:numPr>
          <w:ilvl w:val="0"/>
          <w:numId w:val="7"/>
        </w:numPr>
        <w:pBdr>
          <w:top w:val="nil"/>
          <w:left w:val="nil"/>
          <w:bottom w:val="nil"/>
          <w:right w:val="nil"/>
          <w:between w:val="nil"/>
        </w:pBdr>
      </w:pPr>
      <w:r>
        <w:rPr>
          <w:b/>
          <w:bCs/>
        </w:rPr>
        <w:t>Criterios de Evaluación:</w:t>
      </w:r>
    </w:p>
    <w:p w14:paraId="349DD8CE" w14:textId="77777777" w:rsidR="003D0B8D" w:rsidRDefault="00000000">
      <w:pPr>
        <w:numPr>
          <w:ilvl w:val="1"/>
          <w:numId w:val="8"/>
        </w:numPr>
        <w:pBdr>
          <w:top w:val="nil"/>
          <w:left w:val="nil"/>
          <w:bottom w:val="nil"/>
          <w:right w:val="nil"/>
          <w:between w:val="nil"/>
        </w:pBdr>
      </w:pPr>
      <w:r>
        <w:t xml:space="preserve">Elabora un presupuesto equilibrado considerando la variabilidad de ingresos y la </w:t>
      </w:r>
      <w:r>
        <w:lastRenderedPageBreak/>
        <w:t>priorización de gastos.</w:t>
      </w:r>
    </w:p>
    <w:p w14:paraId="269335C6" w14:textId="77777777" w:rsidR="003D0B8D" w:rsidRDefault="00000000">
      <w:pPr>
        <w:numPr>
          <w:ilvl w:val="1"/>
          <w:numId w:val="8"/>
        </w:numPr>
        <w:pBdr>
          <w:top w:val="nil"/>
          <w:left w:val="nil"/>
          <w:bottom w:val="nil"/>
          <w:right w:val="nil"/>
          <w:between w:val="nil"/>
        </w:pBdr>
      </w:pPr>
      <w:r>
        <w:t>Propone estrategias concretas de ahorro en la escuela y el hogar para constituir un fondo de reserva.</w:t>
      </w:r>
    </w:p>
    <w:p w14:paraId="7882A5B9" w14:textId="77777777" w:rsidR="003D0B8D" w:rsidRDefault="00000000">
      <w:pPr>
        <w:numPr>
          <w:ilvl w:val="1"/>
          <w:numId w:val="8"/>
        </w:numPr>
        <w:pBdr>
          <w:top w:val="nil"/>
          <w:left w:val="nil"/>
          <w:bottom w:val="nil"/>
          <w:right w:val="nil"/>
          <w:between w:val="nil"/>
        </w:pBdr>
      </w:pPr>
      <w:r>
        <w:t>Argumenta cómo la planificación financiera previene el sobreendeudamiento.</w:t>
      </w:r>
    </w:p>
    <w:p w14:paraId="471C9E45" w14:textId="77777777" w:rsidR="003D0B8D" w:rsidRDefault="00000000">
      <w:pPr>
        <w:numPr>
          <w:ilvl w:val="0"/>
          <w:numId w:val="7"/>
        </w:numPr>
        <w:pBdr>
          <w:top w:val="nil"/>
          <w:left w:val="nil"/>
          <w:bottom w:val="nil"/>
          <w:right w:val="nil"/>
          <w:between w:val="nil"/>
        </w:pBdr>
      </w:pPr>
      <w:r>
        <w:rPr>
          <w:b/>
          <w:bCs/>
        </w:rPr>
        <w:t>Gestión del Riesgo / Simulacro:</w:t>
      </w:r>
      <w:r>
        <w:t xml:space="preserve"> Desplazamiento ordenado del aula a los círculos de seguridad del patio central durante la sesión.</w:t>
      </w:r>
    </w:p>
    <w:p w14:paraId="2FF0A4D8" w14:textId="77777777" w:rsidR="003D0B8D" w:rsidRDefault="00000000">
      <w:pPr>
        <w:numPr>
          <w:ilvl w:val="0"/>
          <w:numId w:val="7"/>
        </w:numPr>
        <w:pBdr>
          <w:top w:val="nil"/>
          <w:left w:val="nil"/>
          <w:bottom w:val="nil"/>
          <w:right w:val="nil"/>
          <w:between w:val="nil"/>
        </w:pBdr>
        <w:spacing w:after="60"/>
      </w:pPr>
      <w:r>
        <w:rPr>
          <w:b/>
          <w:bCs/>
        </w:rPr>
        <w:t>Estrategias DUA:</w:t>
      </w:r>
      <w:r>
        <w:t xml:space="preserve"> Juego de roles (Role-</w:t>
      </w:r>
      <w:proofErr w:type="spellStart"/>
      <w:r>
        <w:t>playing</w:t>
      </w:r>
      <w:proofErr w:type="spellEnd"/>
      <w:r>
        <w:t>) interactivo: Simulación de dos escenarios familiares (uno con ahorro previsor y otro sin él) ante una emergencia económica del hogar.</w:t>
      </w:r>
    </w:p>
    <w:p w14:paraId="3DF0BBE6" w14:textId="77777777" w:rsidR="003D0B8D" w:rsidRDefault="00000000">
      <w:pPr>
        <w:pStyle w:val="Ttulo3"/>
      </w:pPr>
      <w:r>
        <w:t>SESIÓN 3: «ALERTAS EN EL MERCADO: RIESGOS DE LA INFORMALIDAD Y LAS MAFIAS DE PRÉSTAMOS ILEGALES»</w:t>
      </w:r>
    </w:p>
    <w:p w14:paraId="576540B1" w14:textId="77777777" w:rsidR="003D0B8D" w:rsidRDefault="00000000">
      <w:pPr>
        <w:numPr>
          <w:ilvl w:val="0"/>
          <w:numId w:val="9"/>
        </w:numPr>
        <w:pBdr>
          <w:top w:val="nil"/>
          <w:left w:val="nil"/>
          <w:bottom w:val="nil"/>
          <w:right w:val="nil"/>
          <w:between w:val="nil"/>
        </w:pBdr>
      </w:pPr>
      <w:r>
        <w:rPr>
          <w:b/>
          <w:bCs/>
        </w:rPr>
        <w:t>Propósito:</w:t>
      </w:r>
      <w:r>
        <w:t xml:space="preserve"> Evaluar críticamente las consecuencias del sobreendeudamiento a través de mecanismos informales e ilegales (como el esquema usurero del «gota a gota»), promoviendo una postura de rechazo firme y valorando los beneficios de la formalidad empresarial y financiera.</w:t>
      </w:r>
    </w:p>
    <w:p w14:paraId="626FB3D8" w14:textId="77777777" w:rsidR="003D0B8D" w:rsidRDefault="00000000">
      <w:pPr>
        <w:numPr>
          <w:ilvl w:val="0"/>
          <w:numId w:val="9"/>
        </w:numPr>
        <w:pBdr>
          <w:top w:val="nil"/>
          <w:left w:val="nil"/>
          <w:bottom w:val="nil"/>
          <w:right w:val="nil"/>
          <w:between w:val="nil"/>
        </w:pBdr>
      </w:pPr>
      <w:r>
        <w:rPr>
          <w:b/>
          <w:bCs/>
        </w:rPr>
        <w:t>Evidencia:</w:t>
      </w:r>
      <w:r>
        <w:t xml:space="preserve"> Ficha de resolución y estudio de caso sobre las consecuencias del crédito informal usurero frente a las alternativas del sistema financiero formal, acompañada de un afiche de sensibilización preventiva.</w:t>
      </w:r>
    </w:p>
    <w:p w14:paraId="725354BC" w14:textId="77777777" w:rsidR="003D0B8D" w:rsidRDefault="00000000">
      <w:pPr>
        <w:numPr>
          <w:ilvl w:val="0"/>
          <w:numId w:val="9"/>
        </w:numPr>
        <w:pBdr>
          <w:top w:val="nil"/>
          <w:left w:val="nil"/>
          <w:bottom w:val="nil"/>
          <w:right w:val="nil"/>
          <w:between w:val="nil"/>
        </w:pBdr>
      </w:pPr>
      <w:r>
        <w:rPr>
          <w:b/>
          <w:bCs/>
        </w:rPr>
        <w:t>Criterios de Evaluación:</w:t>
      </w:r>
    </w:p>
    <w:p w14:paraId="01E6A663" w14:textId="77777777" w:rsidR="003D0B8D" w:rsidRDefault="00000000">
      <w:pPr>
        <w:numPr>
          <w:ilvl w:val="1"/>
          <w:numId w:val="10"/>
        </w:numPr>
        <w:pBdr>
          <w:top w:val="nil"/>
          <w:left w:val="nil"/>
          <w:bottom w:val="nil"/>
          <w:right w:val="nil"/>
          <w:between w:val="nil"/>
        </w:pBdr>
      </w:pPr>
      <w:r>
        <w:t>Diferencia la economía informal de los delitos financieros e ilegales.</w:t>
      </w:r>
    </w:p>
    <w:p w14:paraId="0889E1A2" w14:textId="77777777" w:rsidR="003D0B8D" w:rsidRDefault="00000000">
      <w:pPr>
        <w:numPr>
          <w:ilvl w:val="1"/>
          <w:numId w:val="10"/>
        </w:numPr>
        <w:pBdr>
          <w:top w:val="nil"/>
          <w:left w:val="nil"/>
          <w:bottom w:val="nil"/>
          <w:right w:val="nil"/>
          <w:between w:val="nil"/>
        </w:pBdr>
      </w:pPr>
      <w:r>
        <w:t>Explica los riesgos y consecuencias socioeconómicas de recurrir a préstamos usurarios («gota a gota»).</w:t>
      </w:r>
    </w:p>
    <w:p w14:paraId="2CA1CA23" w14:textId="77777777" w:rsidR="003D0B8D" w:rsidRDefault="00000000">
      <w:pPr>
        <w:numPr>
          <w:ilvl w:val="1"/>
          <w:numId w:val="10"/>
        </w:numPr>
        <w:pBdr>
          <w:top w:val="nil"/>
          <w:left w:val="nil"/>
          <w:bottom w:val="nil"/>
          <w:right w:val="nil"/>
          <w:between w:val="nil"/>
        </w:pBdr>
      </w:pPr>
      <w:r>
        <w:t>Manifiesta una posición crítica y de rechazo hacia las redes de préstamos ilegales.</w:t>
      </w:r>
    </w:p>
    <w:p w14:paraId="55D479B8" w14:textId="77777777" w:rsidR="003D0B8D" w:rsidRDefault="00000000">
      <w:pPr>
        <w:numPr>
          <w:ilvl w:val="0"/>
          <w:numId w:val="9"/>
        </w:numPr>
        <w:pBdr>
          <w:top w:val="nil"/>
          <w:left w:val="nil"/>
          <w:bottom w:val="nil"/>
          <w:right w:val="nil"/>
          <w:between w:val="nil"/>
        </w:pBdr>
      </w:pPr>
      <w:r>
        <w:rPr>
          <w:b/>
          <w:bCs/>
        </w:rPr>
        <w:t>Gestión del Riesgo / Simulacro:</w:t>
      </w:r>
      <w:r>
        <w:t xml:space="preserve"> Inspección guiada con los estudiantes de las rutas de evacuación del pabellón para verificar que se encuentren libres de obstáculos.</w:t>
      </w:r>
    </w:p>
    <w:p w14:paraId="534E70B4" w14:textId="77777777" w:rsidR="003D0B8D" w:rsidRDefault="00000000">
      <w:pPr>
        <w:numPr>
          <w:ilvl w:val="0"/>
          <w:numId w:val="9"/>
        </w:numPr>
        <w:pBdr>
          <w:top w:val="nil"/>
          <w:left w:val="nil"/>
          <w:bottom w:val="nil"/>
          <w:right w:val="nil"/>
          <w:between w:val="nil"/>
        </w:pBdr>
        <w:spacing w:after="60"/>
      </w:pPr>
      <w:r>
        <w:rPr>
          <w:b/>
          <w:bCs/>
        </w:rPr>
        <w:t>Estrategias DUA:</w:t>
      </w:r>
      <w:r>
        <w:t xml:space="preserve"> Análisis de casos reales y noticias locales simplificadas mediante organizadores gráficos de causa-efecto (Diagrama de Ishikawa) y apoyo auditivo o visual.</w:t>
      </w:r>
    </w:p>
    <w:p w14:paraId="03469E48" w14:textId="77777777" w:rsidR="003D0B8D" w:rsidRDefault="00000000">
      <w:pPr>
        <w:pStyle w:val="Ttulo3"/>
      </w:pPr>
      <w:r>
        <w:t>SESIÓN 4: «FERIA DE CIUDADANÍA ECONÓMICA: SUSTENTACIÓN DEL PRESUPUESTO Y DECÁLOGOS DE FORMALIDAD»</w:t>
      </w:r>
    </w:p>
    <w:p w14:paraId="4732F16B" w14:textId="77777777" w:rsidR="003D0B8D" w:rsidRDefault="00000000">
      <w:pPr>
        <w:numPr>
          <w:ilvl w:val="0"/>
          <w:numId w:val="11"/>
        </w:numPr>
        <w:pBdr>
          <w:top w:val="nil"/>
          <w:left w:val="nil"/>
          <w:bottom w:val="nil"/>
          <w:right w:val="nil"/>
          <w:between w:val="nil"/>
        </w:pBdr>
      </w:pPr>
      <w:r>
        <w:rPr>
          <w:b/>
          <w:bCs/>
        </w:rPr>
        <w:t>Propósito:</w:t>
      </w:r>
      <w:r>
        <w:t xml:space="preserve"> Comunicar y sustentar en equipo el Presupuesto Familiar Balanceado (basado en el registro de compras y el ahorro) y el Decálogo de la Formalidad Ciudadana, argumentando la importancia del pago del IGV y el rechazo a la ilegalidad para el desarrollo socioeconómico de Jicamarca.</w:t>
      </w:r>
    </w:p>
    <w:p w14:paraId="086477BC" w14:textId="77777777" w:rsidR="003D0B8D" w:rsidRDefault="00000000">
      <w:pPr>
        <w:numPr>
          <w:ilvl w:val="0"/>
          <w:numId w:val="11"/>
        </w:numPr>
        <w:pBdr>
          <w:top w:val="nil"/>
          <w:left w:val="nil"/>
          <w:bottom w:val="nil"/>
          <w:right w:val="nil"/>
          <w:between w:val="nil"/>
        </w:pBdr>
      </w:pPr>
      <w:r>
        <w:rPr>
          <w:b/>
          <w:bCs/>
        </w:rPr>
        <w:t>Evidencia:</w:t>
      </w:r>
      <w:r>
        <w:t xml:space="preserve"> Exposición grupal estructurada en los stands de la "Feria Escolar de Ciudadanía Económica" y presentación del portafolio final de la unidad.</w:t>
      </w:r>
    </w:p>
    <w:p w14:paraId="115213F5" w14:textId="77777777" w:rsidR="003D0B8D" w:rsidRDefault="00000000">
      <w:pPr>
        <w:numPr>
          <w:ilvl w:val="0"/>
          <w:numId w:val="11"/>
        </w:numPr>
        <w:pBdr>
          <w:top w:val="nil"/>
          <w:left w:val="nil"/>
          <w:bottom w:val="nil"/>
          <w:right w:val="nil"/>
          <w:between w:val="nil"/>
        </w:pBdr>
      </w:pPr>
      <w:r>
        <w:rPr>
          <w:b/>
          <w:bCs/>
        </w:rPr>
        <w:t>Criterios de Evaluación:</w:t>
      </w:r>
    </w:p>
    <w:p w14:paraId="14D45B60" w14:textId="77777777" w:rsidR="003D0B8D" w:rsidRDefault="00000000">
      <w:pPr>
        <w:numPr>
          <w:ilvl w:val="1"/>
          <w:numId w:val="12"/>
        </w:numPr>
        <w:pBdr>
          <w:top w:val="nil"/>
          <w:left w:val="nil"/>
          <w:bottom w:val="nil"/>
          <w:right w:val="nil"/>
          <w:between w:val="nil"/>
        </w:pBdr>
      </w:pPr>
      <w:r>
        <w:t>Sustenta de forma lógica la distribución equilibrada de un presupuesto familiar incorporando el registro de egresos y el plan de ahorro.</w:t>
      </w:r>
    </w:p>
    <w:p w14:paraId="31C21C49" w14:textId="77777777" w:rsidR="003D0B8D" w:rsidRDefault="00000000">
      <w:pPr>
        <w:numPr>
          <w:ilvl w:val="1"/>
          <w:numId w:val="12"/>
        </w:numPr>
        <w:pBdr>
          <w:top w:val="nil"/>
          <w:left w:val="nil"/>
          <w:bottom w:val="nil"/>
          <w:right w:val="nil"/>
          <w:between w:val="nil"/>
        </w:pBdr>
      </w:pPr>
      <w:r>
        <w:t xml:space="preserve">Argumenta la relación entre el cumplimiento de responsabilidades tributarias y el </w:t>
      </w:r>
      <w:r>
        <w:lastRenderedPageBreak/>
        <w:t>financiamiento del presupuesto público local.</w:t>
      </w:r>
    </w:p>
    <w:p w14:paraId="7EC3EF03" w14:textId="77777777" w:rsidR="003D0B8D" w:rsidRDefault="00000000">
      <w:pPr>
        <w:numPr>
          <w:ilvl w:val="1"/>
          <w:numId w:val="12"/>
        </w:numPr>
        <w:pBdr>
          <w:top w:val="nil"/>
          <w:left w:val="nil"/>
          <w:bottom w:val="nil"/>
          <w:right w:val="nil"/>
          <w:between w:val="nil"/>
        </w:pBdr>
      </w:pPr>
      <w:r>
        <w:t>Demuestra convicción ciudadana en la promoción de hábitos de consumo responsables y formales.</w:t>
      </w:r>
    </w:p>
    <w:p w14:paraId="3DB545C5" w14:textId="77777777" w:rsidR="003D0B8D" w:rsidRDefault="00000000">
      <w:pPr>
        <w:numPr>
          <w:ilvl w:val="0"/>
          <w:numId w:val="11"/>
        </w:numPr>
        <w:pBdr>
          <w:top w:val="nil"/>
          <w:left w:val="nil"/>
          <w:bottom w:val="nil"/>
          <w:right w:val="nil"/>
          <w:between w:val="nil"/>
        </w:pBdr>
      </w:pPr>
      <w:r>
        <w:rPr>
          <w:b/>
          <w:bCs/>
        </w:rPr>
        <w:t>Gestión del Riesgo / Simulacro:</w:t>
      </w:r>
      <w:r>
        <w:t xml:space="preserve"> Evaluación final del comportamiento ciudadano, orden y respeto mutuo durante el simulacro general de la unidad.</w:t>
      </w:r>
    </w:p>
    <w:p w14:paraId="6E425DD2" w14:textId="77777777" w:rsidR="003D0B8D" w:rsidRDefault="00000000">
      <w:pPr>
        <w:numPr>
          <w:ilvl w:val="0"/>
          <w:numId w:val="11"/>
        </w:numPr>
        <w:pBdr>
          <w:top w:val="nil"/>
          <w:left w:val="nil"/>
          <w:bottom w:val="nil"/>
          <w:right w:val="nil"/>
          <w:between w:val="nil"/>
        </w:pBdr>
        <w:spacing w:after="60"/>
      </w:pPr>
      <w:r>
        <w:rPr>
          <w:b/>
          <w:bCs/>
        </w:rPr>
        <w:t>Estrategias DUA:</w:t>
      </w:r>
      <w:r>
        <w:t xml:space="preserve"> Múltiples opciones de expresión: sustentación mediante maquetas, paneles infográficos interactivos o presentaciones orales apoyadas con organizadores adaptados.</w:t>
      </w:r>
    </w:p>
    <w:p w14:paraId="03163788" w14:textId="77777777" w:rsidR="003D0B8D" w:rsidRDefault="00000000">
      <w:pPr>
        <w:pStyle w:val="Ttulo2"/>
      </w:pPr>
      <w:r>
        <w:t>VI. RECURSOS Y BIBLIOGRAFÍA</w:t>
      </w:r>
    </w:p>
    <w:p w14:paraId="065D01CD" w14:textId="77777777" w:rsidR="003D0B8D" w:rsidRDefault="00000000">
      <w:pPr>
        <w:numPr>
          <w:ilvl w:val="0"/>
          <w:numId w:val="13"/>
        </w:numPr>
        <w:pBdr>
          <w:top w:val="nil"/>
          <w:left w:val="nil"/>
          <w:bottom w:val="nil"/>
          <w:right w:val="nil"/>
          <w:between w:val="nil"/>
        </w:pBdr>
      </w:pPr>
      <w:r>
        <w:pict w14:anchorId="4766CE55">
          <v:rect id="_x0000_i1030" style="width:0;height:1.5pt" o:hralign="center" o:hrstd="t" o:hr="t" fillcolor="#a0a0a0" stroked="f"/>
        </w:pict>
      </w:r>
      <w:r>
        <w:rPr>
          <w:b/>
          <w:bCs/>
        </w:rPr>
        <w:t>Materiales didácticos:</w:t>
      </w:r>
      <w:r>
        <w:t xml:space="preserve"> Papelotes, plumones de colores, fichas de trabajo impresas, organizadores visuales en cartulina, bitácoras financieras impresas, textos escolares de Ciencias Sociales.</w:t>
      </w:r>
    </w:p>
    <w:p w14:paraId="391ABB17" w14:textId="77777777" w:rsidR="003D0B8D" w:rsidRDefault="00000000">
      <w:pPr>
        <w:numPr>
          <w:ilvl w:val="0"/>
          <w:numId w:val="13"/>
        </w:numPr>
        <w:pBdr>
          <w:top w:val="nil"/>
          <w:left w:val="nil"/>
          <w:bottom w:val="nil"/>
          <w:right w:val="nil"/>
          <w:between w:val="nil"/>
        </w:pBdr>
      </w:pPr>
      <w:r>
        <w:rPr>
          <w:b/>
          <w:bCs/>
        </w:rPr>
        <w:t>Bibliografía del Estudiante:</w:t>
      </w:r>
      <w:r>
        <w:t xml:space="preserve"> Ministerio de Educación del Perú (MINEDU). </w:t>
      </w:r>
      <w:r>
        <w:rPr>
          <w:i/>
          <w:iCs/>
        </w:rPr>
        <w:t>Texto Escolar de Historia, Geografía y Economía 2° de Secundaria</w:t>
      </w:r>
      <w:r>
        <w:t>. Lima: Editorial Santillana.</w:t>
      </w:r>
    </w:p>
    <w:p w14:paraId="518832DE" w14:textId="77777777" w:rsidR="003D0B8D" w:rsidRDefault="00000000">
      <w:pPr>
        <w:numPr>
          <w:ilvl w:val="0"/>
          <w:numId w:val="13"/>
        </w:numPr>
        <w:pBdr>
          <w:top w:val="nil"/>
          <w:left w:val="nil"/>
          <w:bottom w:val="nil"/>
          <w:right w:val="nil"/>
          <w:between w:val="nil"/>
        </w:pBdr>
      </w:pPr>
      <w:r>
        <w:rPr>
          <w:b/>
          <w:bCs/>
        </w:rPr>
        <w:t>Bibliografía del Docente:</w:t>
      </w:r>
    </w:p>
    <w:p w14:paraId="7114512D" w14:textId="77777777" w:rsidR="003D0B8D" w:rsidRDefault="00000000">
      <w:pPr>
        <w:numPr>
          <w:ilvl w:val="1"/>
          <w:numId w:val="14"/>
        </w:numPr>
        <w:pBdr>
          <w:top w:val="nil"/>
          <w:left w:val="nil"/>
          <w:bottom w:val="nil"/>
          <w:right w:val="nil"/>
          <w:between w:val="nil"/>
        </w:pBdr>
      </w:pPr>
      <w:r>
        <w:t xml:space="preserve">MINEDU (2016). </w:t>
      </w:r>
      <w:r>
        <w:rPr>
          <w:i/>
          <w:iCs/>
        </w:rPr>
        <w:t>Currículo Nacional de la Educación Básica (CNEB)</w:t>
      </w:r>
      <w:r>
        <w:t>. Lima.</w:t>
      </w:r>
    </w:p>
    <w:p w14:paraId="337B2615" w14:textId="77777777" w:rsidR="003D0B8D" w:rsidRDefault="00000000">
      <w:pPr>
        <w:numPr>
          <w:ilvl w:val="1"/>
          <w:numId w:val="14"/>
        </w:numPr>
        <w:pBdr>
          <w:top w:val="nil"/>
          <w:left w:val="nil"/>
          <w:bottom w:val="nil"/>
          <w:right w:val="nil"/>
          <w:between w:val="nil"/>
        </w:pBdr>
      </w:pPr>
      <w:r>
        <w:t xml:space="preserve">Superintendencia de Banca, Seguros y AFP (SBS). </w:t>
      </w:r>
      <w:r>
        <w:rPr>
          <w:i/>
          <w:iCs/>
        </w:rPr>
        <w:t>Manual de Educación Financiera para Docentes de Educación Secundaria</w:t>
      </w:r>
      <w:r>
        <w:t>. Programa de Asesoría Financiera (2021).</w:t>
      </w:r>
    </w:p>
    <w:p w14:paraId="1670BB7D" w14:textId="77777777" w:rsidR="003D0B8D" w:rsidRDefault="00000000">
      <w:pPr>
        <w:numPr>
          <w:ilvl w:val="1"/>
          <w:numId w:val="14"/>
        </w:numPr>
        <w:pBdr>
          <w:top w:val="nil"/>
          <w:left w:val="nil"/>
          <w:bottom w:val="nil"/>
          <w:right w:val="nil"/>
          <w:between w:val="nil"/>
        </w:pBdr>
        <w:spacing w:after="60"/>
      </w:pPr>
      <w:r>
        <w:t xml:space="preserve">MINEDU. </w:t>
      </w:r>
      <w:r>
        <w:rPr>
          <w:i/>
          <w:iCs/>
        </w:rPr>
        <w:t>Manual para el docente de Historia, Geografía y Economía de 2° grado de Educación Secundaria</w:t>
      </w:r>
      <w:r>
        <w:t>. Lima: Santillana S.A.</w:t>
      </w:r>
    </w:p>
    <w:tbl>
      <w:tblPr>
        <w:tblStyle w:val="a2"/>
        <w:tblW w:w="9360" w:type="dxa"/>
        <w:tblInd w:w="0" w:type="dxa"/>
        <w:tblLayout w:type="fixed"/>
        <w:tblLook w:val="0600" w:firstRow="0" w:lastRow="0" w:firstColumn="0" w:lastColumn="0" w:noHBand="1" w:noVBand="1"/>
      </w:tblPr>
      <w:tblGrid>
        <w:gridCol w:w="3120"/>
        <w:gridCol w:w="3120"/>
        <w:gridCol w:w="3120"/>
      </w:tblGrid>
      <w:tr w:rsidR="003D0B8D" w14:paraId="4DBE4871" w14:textId="77777777">
        <w:tc>
          <w:tcPr>
            <w:tcW w:w="3120" w:type="dxa"/>
            <w:tcBorders>
              <w:top w:val="nil"/>
              <w:left w:val="nil"/>
              <w:bottom w:val="nil"/>
              <w:right w:val="nil"/>
            </w:tcBorders>
            <w:tcMar>
              <w:top w:w="600" w:type="dxa"/>
              <w:left w:w="150" w:type="dxa"/>
              <w:bottom w:w="120" w:type="dxa"/>
              <w:right w:w="150" w:type="dxa"/>
            </w:tcMar>
          </w:tcPr>
          <w:p w14:paraId="7DD5654D" w14:textId="77777777" w:rsidR="003D0B8D" w:rsidRDefault="00000000">
            <w:pPr>
              <w:pBdr>
                <w:top w:val="nil"/>
                <w:left w:val="nil"/>
                <w:bottom w:val="nil"/>
                <w:right w:val="nil"/>
                <w:between w:val="nil"/>
              </w:pBdr>
              <w:jc w:val="center"/>
              <w:rPr>
                <w:sz w:val="20"/>
                <w:szCs w:val="20"/>
              </w:rPr>
            </w:pPr>
            <w:r>
              <w:rPr>
                <w:sz w:val="20"/>
                <w:szCs w:val="20"/>
              </w:rPr>
              <w:t>__________________________________</w:t>
            </w:r>
          </w:p>
          <w:p w14:paraId="7E9C3254" w14:textId="77777777" w:rsidR="003D0B8D" w:rsidRDefault="00000000">
            <w:pPr>
              <w:pBdr>
                <w:top w:val="nil"/>
                <w:left w:val="nil"/>
                <w:bottom w:val="nil"/>
                <w:right w:val="nil"/>
                <w:between w:val="nil"/>
              </w:pBdr>
              <w:jc w:val="center"/>
              <w:rPr>
                <w:b/>
                <w:bCs/>
                <w:sz w:val="20"/>
                <w:szCs w:val="20"/>
              </w:rPr>
            </w:pPr>
            <w:r>
              <w:rPr>
                <w:b/>
                <w:bCs/>
                <w:sz w:val="20"/>
                <w:szCs w:val="20"/>
              </w:rPr>
              <w:t>Mg. David Inga Barzola</w:t>
            </w:r>
          </w:p>
          <w:p w14:paraId="4943CE5B" w14:textId="77777777" w:rsidR="003D0B8D" w:rsidRDefault="00000000">
            <w:pPr>
              <w:pBdr>
                <w:top w:val="nil"/>
                <w:left w:val="nil"/>
                <w:bottom w:val="nil"/>
                <w:right w:val="nil"/>
                <w:between w:val="nil"/>
              </w:pBdr>
              <w:spacing w:before="600" w:after="120"/>
              <w:jc w:val="center"/>
              <w:rPr>
                <w:sz w:val="20"/>
                <w:szCs w:val="20"/>
              </w:rPr>
            </w:pPr>
            <w:r>
              <w:rPr>
                <w:sz w:val="20"/>
                <w:szCs w:val="20"/>
              </w:rPr>
              <w:t>DIRECTOR</w:t>
            </w:r>
          </w:p>
        </w:tc>
        <w:tc>
          <w:tcPr>
            <w:tcW w:w="3120" w:type="dxa"/>
            <w:tcBorders>
              <w:top w:val="nil"/>
              <w:left w:val="nil"/>
              <w:bottom w:val="nil"/>
              <w:right w:val="nil"/>
            </w:tcBorders>
            <w:tcMar>
              <w:top w:w="600" w:type="dxa"/>
              <w:left w:w="150" w:type="dxa"/>
              <w:bottom w:w="120" w:type="dxa"/>
              <w:right w:w="150" w:type="dxa"/>
            </w:tcMar>
          </w:tcPr>
          <w:p w14:paraId="49504D0E" w14:textId="77777777" w:rsidR="003D0B8D" w:rsidRDefault="00000000">
            <w:pPr>
              <w:pBdr>
                <w:top w:val="nil"/>
                <w:left w:val="nil"/>
                <w:bottom w:val="nil"/>
                <w:right w:val="nil"/>
                <w:between w:val="nil"/>
              </w:pBdr>
              <w:jc w:val="center"/>
              <w:rPr>
                <w:sz w:val="20"/>
                <w:szCs w:val="20"/>
              </w:rPr>
            </w:pPr>
            <w:r>
              <w:rPr>
                <w:sz w:val="20"/>
                <w:szCs w:val="20"/>
              </w:rPr>
              <w:t>__________________________________</w:t>
            </w:r>
          </w:p>
          <w:p w14:paraId="28A8DD51" w14:textId="77777777" w:rsidR="003D0B8D" w:rsidRDefault="00000000">
            <w:pPr>
              <w:pBdr>
                <w:top w:val="nil"/>
                <w:left w:val="nil"/>
                <w:bottom w:val="nil"/>
                <w:right w:val="nil"/>
                <w:between w:val="nil"/>
              </w:pBdr>
              <w:jc w:val="center"/>
              <w:rPr>
                <w:b/>
                <w:bCs/>
                <w:sz w:val="20"/>
                <w:szCs w:val="20"/>
              </w:rPr>
            </w:pPr>
            <w:r>
              <w:rPr>
                <w:b/>
                <w:bCs/>
                <w:sz w:val="20"/>
                <w:szCs w:val="20"/>
              </w:rPr>
              <w:t>Mg. Jared Palomino</w:t>
            </w:r>
          </w:p>
          <w:p w14:paraId="713F2DFC" w14:textId="77777777" w:rsidR="003D0B8D" w:rsidRDefault="00000000">
            <w:pPr>
              <w:pBdr>
                <w:top w:val="nil"/>
                <w:left w:val="nil"/>
                <w:bottom w:val="nil"/>
                <w:right w:val="nil"/>
                <w:between w:val="nil"/>
              </w:pBdr>
              <w:spacing w:before="600" w:after="120"/>
              <w:jc w:val="center"/>
              <w:rPr>
                <w:sz w:val="20"/>
                <w:szCs w:val="20"/>
              </w:rPr>
            </w:pPr>
            <w:r>
              <w:rPr>
                <w:sz w:val="20"/>
                <w:szCs w:val="20"/>
              </w:rPr>
              <w:t>SUBDIRECTOR</w:t>
            </w:r>
          </w:p>
        </w:tc>
        <w:tc>
          <w:tcPr>
            <w:tcW w:w="3120" w:type="dxa"/>
            <w:tcBorders>
              <w:top w:val="nil"/>
              <w:left w:val="nil"/>
              <w:bottom w:val="nil"/>
              <w:right w:val="nil"/>
            </w:tcBorders>
            <w:tcMar>
              <w:top w:w="600" w:type="dxa"/>
              <w:left w:w="150" w:type="dxa"/>
              <w:bottom w:w="120" w:type="dxa"/>
              <w:right w:w="150" w:type="dxa"/>
            </w:tcMar>
          </w:tcPr>
          <w:p w14:paraId="1FD41A47" w14:textId="77777777" w:rsidR="003D0B8D" w:rsidRDefault="00000000">
            <w:pPr>
              <w:pBdr>
                <w:top w:val="nil"/>
                <w:left w:val="nil"/>
                <w:bottom w:val="nil"/>
                <w:right w:val="nil"/>
                <w:between w:val="nil"/>
              </w:pBdr>
              <w:jc w:val="center"/>
              <w:rPr>
                <w:sz w:val="20"/>
                <w:szCs w:val="20"/>
              </w:rPr>
            </w:pPr>
            <w:r>
              <w:rPr>
                <w:sz w:val="20"/>
                <w:szCs w:val="20"/>
              </w:rPr>
              <w:t>__________________________________</w:t>
            </w:r>
          </w:p>
          <w:p w14:paraId="2700E7D7" w14:textId="77777777" w:rsidR="003D0B8D" w:rsidRDefault="00000000">
            <w:pPr>
              <w:pBdr>
                <w:top w:val="nil"/>
                <w:left w:val="nil"/>
                <w:bottom w:val="nil"/>
                <w:right w:val="nil"/>
                <w:between w:val="nil"/>
              </w:pBdr>
              <w:jc w:val="center"/>
              <w:rPr>
                <w:b/>
                <w:bCs/>
                <w:sz w:val="20"/>
                <w:szCs w:val="20"/>
              </w:rPr>
            </w:pPr>
            <w:r>
              <w:rPr>
                <w:b/>
                <w:bCs/>
                <w:sz w:val="20"/>
                <w:szCs w:val="20"/>
              </w:rPr>
              <w:t>Amelia Teresa Aparcana Avila</w:t>
            </w:r>
          </w:p>
          <w:p w14:paraId="68CAF8F9" w14:textId="77777777" w:rsidR="003D0B8D" w:rsidRDefault="00000000">
            <w:pPr>
              <w:pBdr>
                <w:top w:val="nil"/>
                <w:left w:val="nil"/>
                <w:bottom w:val="nil"/>
                <w:right w:val="nil"/>
                <w:between w:val="nil"/>
              </w:pBdr>
              <w:spacing w:before="600" w:after="120"/>
              <w:jc w:val="center"/>
              <w:rPr>
                <w:sz w:val="20"/>
                <w:szCs w:val="20"/>
              </w:rPr>
            </w:pPr>
            <w:r>
              <w:rPr>
                <w:sz w:val="20"/>
                <w:szCs w:val="20"/>
              </w:rPr>
              <w:t>DOCENTE</w:t>
            </w:r>
          </w:p>
        </w:tc>
      </w:tr>
    </w:tbl>
    <w:p w14:paraId="17EDE4AE" w14:textId="77777777" w:rsidR="003D0B8D" w:rsidRDefault="003D0B8D">
      <w:pPr>
        <w:pBdr>
          <w:top w:val="nil"/>
          <w:left w:val="nil"/>
          <w:bottom w:val="nil"/>
          <w:right w:val="nil"/>
          <w:between w:val="nil"/>
        </w:pBdr>
        <w:spacing w:line="276" w:lineRule="auto"/>
        <w:rPr>
          <w:sz w:val="20"/>
          <w:szCs w:val="20"/>
        </w:rPr>
      </w:pPr>
    </w:p>
    <w:sectPr w:rsidR="003D0B8D">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1" w:fontKey="{F17190B2-CA08-4765-A55D-3CD486D9DDAB}"/>
  </w:font>
  <w:font w:name="Calibri">
    <w:panose1 w:val="020F0502020204030204"/>
    <w:charset w:val="00"/>
    <w:family w:val="swiss"/>
    <w:pitch w:val="variable"/>
    <w:sig w:usb0="E4002EFF" w:usb1="C000247B" w:usb2="00000009" w:usb3="00000000" w:csb0="000001FF" w:csb1="00000000"/>
    <w:embedRegular r:id="rId2" w:fontKey="{27F5D1E3-849E-4F09-9FB2-D635F9D336E8}"/>
  </w:font>
  <w:font w:name="Cambria">
    <w:panose1 w:val="02040503050406030204"/>
    <w:charset w:val="00"/>
    <w:family w:val="roman"/>
    <w:pitch w:val="variable"/>
    <w:sig w:usb0="E00006FF" w:usb1="420024FF" w:usb2="02000000" w:usb3="00000000" w:csb0="0000019F" w:csb1="00000000"/>
    <w:embedRegular r:id="rId3" w:fontKey="{053D6805-D275-440C-8921-01F9D4CF1DC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B7CFD"/>
    <w:multiLevelType w:val="multilevel"/>
    <w:tmpl w:val="7BD65A70"/>
    <w:lvl w:ilvl="0">
      <w:start w:val="1"/>
      <w:numFmt w:val="bullet"/>
      <w:lvlText w:val="●"/>
      <w:lvlJc w:val="left"/>
      <w:pPr>
        <w:ind w:left="3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2E4711E8"/>
    <w:multiLevelType w:val="multilevel"/>
    <w:tmpl w:val="48681152"/>
    <w:lvl w:ilvl="0">
      <w:start w:val="1"/>
      <w:numFmt w:val="bullet"/>
      <w:lvlText w:val="●"/>
      <w:lvlJc w:val="left"/>
      <w:pPr>
        <w:ind w:left="3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 w15:restartNumberingAfterBreak="0">
    <w:nsid w:val="42817FF6"/>
    <w:multiLevelType w:val="multilevel"/>
    <w:tmpl w:val="BEA2C92C"/>
    <w:lvl w:ilvl="0">
      <w:start w:val="1"/>
      <w:numFmt w:val="bullet"/>
      <w:lvlText w:val="●"/>
      <w:lvlJc w:val="left"/>
      <w:pPr>
        <w:ind w:left="3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 w15:restartNumberingAfterBreak="0">
    <w:nsid w:val="4BEE4161"/>
    <w:multiLevelType w:val="multilevel"/>
    <w:tmpl w:val="B7A84E1E"/>
    <w:lvl w:ilvl="0">
      <w:start w:val="1"/>
      <w:numFmt w:val="bullet"/>
      <w:lvlText w:val="●"/>
      <w:lvlJc w:val="left"/>
      <w:pPr>
        <w:ind w:left="3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 w15:restartNumberingAfterBreak="0">
    <w:nsid w:val="53F80C2A"/>
    <w:multiLevelType w:val="multilevel"/>
    <w:tmpl w:val="C8889D98"/>
    <w:lvl w:ilvl="0">
      <w:start w:val="1"/>
      <w:numFmt w:val="bullet"/>
      <w:lvlText w:val="●"/>
      <w:lvlJc w:val="left"/>
      <w:pPr>
        <w:ind w:left="3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 w15:restartNumberingAfterBreak="0">
    <w:nsid w:val="582C68A5"/>
    <w:multiLevelType w:val="multilevel"/>
    <w:tmpl w:val="9B14E698"/>
    <w:lvl w:ilvl="0">
      <w:start w:val="1"/>
      <w:numFmt w:val="bullet"/>
      <w:lvlText w:val="●"/>
      <w:lvlJc w:val="left"/>
      <w:pPr>
        <w:ind w:left="3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6" w15:restartNumberingAfterBreak="0">
    <w:nsid w:val="5BCD09DC"/>
    <w:multiLevelType w:val="multilevel"/>
    <w:tmpl w:val="E2DA43C8"/>
    <w:lvl w:ilvl="0">
      <w:start w:val="1"/>
      <w:numFmt w:val="bullet"/>
      <w:lvlText w:val="●"/>
      <w:lvlJc w:val="left"/>
      <w:pPr>
        <w:ind w:left="3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7" w15:restartNumberingAfterBreak="0">
    <w:nsid w:val="62EE170E"/>
    <w:multiLevelType w:val="multilevel"/>
    <w:tmpl w:val="63705F9E"/>
    <w:lvl w:ilvl="0">
      <w:start w:val="1"/>
      <w:numFmt w:val="bullet"/>
      <w:lvlText w:val="●"/>
      <w:lvlJc w:val="left"/>
      <w:pPr>
        <w:ind w:left="3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8" w15:restartNumberingAfterBreak="0">
    <w:nsid w:val="670D26D5"/>
    <w:multiLevelType w:val="multilevel"/>
    <w:tmpl w:val="0AD60610"/>
    <w:lvl w:ilvl="0">
      <w:start w:val="1"/>
      <w:numFmt w:val="bullet"/>
      <w:lvlText w:val="●"/>
      <w:lvlJc w:val="left"/>
      <w:pPr>
        <w:ind w:left="3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9" w15:restartNumberingAfterBreak="0">
    <w:nsid w:val="6DB16920"/>
    <w:multiLevelType w:val="multilevel"/>
    <w:tmpl w:val="69F2D3BA"/>
    <w:lvl w:ilvl="0">
      <w:start w:val="1"/>
      <w:numFmt w:val="bullet"/>
      <w:lvlText w:val="●"/>
      <w:lvlJc w:val="left"/>
      <w:pPr>
        <w:ind w:left="3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0" w15:restartNumberingAfterBreak="0">
    <w:nsid w:val="73F24B49"/>
    <w:multiLevelType w:val="multilevel"/>
    <w:tmpl w:val="C2DABF0A"/>
    <w:lvl w:ilvl="0">
      <w:start w:val="1"/>
      <w:numFmt w:val="bullet"/>
      <w:lvlText w:val="●"/>
      <w:lvlJc w:val="left"/>
      <w:pPr>
        <w:ind w:left="3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1" w15:restartNumberingAfterBreak="0">
    <w:nsid w:val="74BF2449"/>
    <w:multiLevelType w:val="multilevel"/>
    <w:tmpl w:val="83944B84"/>
    <w:lvl w:ilvl="0">
      <w:start w:val="1"/>
      <w:numFmt w:val="bullet"/>
      <w:lvlText w:val="●"/>
      <w:lvlJc w:val="left"/>
      <w:pPr>
        <w:ind w:left="3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2" w15:restartNumberingAfterBreak="0">
    <w:nsid w:val="7AB95506"/>
    <w:multiLevelType w:val="multilevel"/>
    <w:tmpl w:val="23083C60"/>
    <w:lvl w:ilvl="0">
      <w:start w:val="1"/>
      <w:numFmt w:val="bullet"/>
      <w:lvlText w:val="●"/>
      <w:lvlJc w:val="left"/>
      <w:pPr>
        <w:ind w:left="3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3" w15:restartNumberingAfterBreak="0">
    <w:nsid w:val="7D6965FE"/>
    <w:multiLevelType w:val="multilevel"/>
    <w:tmpl w:val="034E3CFA"/>
    <w:lvl w:ilvl="0">
      <w:start w:val="1"/>
      <w:numFmt w:val="bullet"/>
      <w:lvlText w:val="●"/>
      <w:lvlJc w:val="left"/>
      <w:pPr>
        <w:ind w:left="3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1329363684">
    <w:abstractNumId w:val="5"/>
  </w:num>
  <w:num w:numId="2" w16cid:durableId="972056221">
    <w:abstractNumId w:val="1"/>
  </w:num>
  <w:num w:numId="3" w16cid:durableId="77023665">
    <w:abstractNumId w:val="11"/>
  </w:num>
  <w:num w:numId="4" w16cid:durableId="348457646">
    <w:abstractNumId w:val="8"/>
  </w:num>
  <w:num w:numId="5" w16cid:durableId="1466966481">
    <w:abstractNumId w:val="10"/>
  </w:num>
  <w:num w:numId="6" w16cid:durableId="1098522341">
    <w:abstractNumId w:val="4"/>
  </w:num>
  <w:num w:numId="7" w16cid:durableId="160894708">
    <w:abstractNumId w:val="6"/>
  </w:num>
  <w:num w:numId="8" w16cid:durableId="2112624170">
    <w:abstractNumId w:val="2"/>
  </w:num>
  <w:num w:numId="9" w16cid:durableId="481778848">
    <w:abstractNumId w:val="9"/>
  </w:num>
  <w:num w:numId="10" w16cid:durableId="459694217">
    <w:abstractNumId w:val="13"/>
  </w:num>
  <w:num w:numId="11" w16cid:durableId="140737215">
    <w:abstractNumId w:val="12"/>
  </w:num>
  <w:num w:numId="12" w16cid:durableId="887960878">
    <w:abstractNumId w:val="0"/>
  </w:num>
  <w:num w:numId="13" w16cid:durableId="2136752484">
    <w:abstractNumId w:val="7"/>
  </w:num>
  <w:num w:numId="14" w16cid:durableId="10637966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B8D"/>
    <w:rsid w:val="003D0B8D"/>
    <w:rsid w:val="0089665E"/>
    <w:rsid w:val="0096472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D2284"/>
  <w15:docId w15:val="{C0E0A803-B0E3-4580-B173-F029B698F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PE" w:eastAsia="es-PE" w:bidi="ar-SA"/>
      </w:rPr>
    </w:rPrDefault>
    <w:pPrDefault>
      <w:pPr>
        <w:widowControl w:val="0"/>
        <w:spacing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pBdr>
        <w:top w:val="nil"/>
        <w:left w:val="nil"/>
        <w:bottom w:val="nil"/>
        <w:right w:val="nil"/>
        <w:between w:val="nil"/>
      </w:pBdr>
      <w:spacing w:before="240" w:after="225"/>
      <w:jc w:val="center"/>
      <w:outlineLvl w:val="0"/>
    </w:pPr>
    <w:rPr>
      <w:b/>
      <w:bCs/>
      <w:color w:val="1A365D"/>
      <w:sz w:val="36"/>
      <w:szCs w:val="36"/>
    </w:rPr>
  </w:style>
  <w:style w:type="paragraph" w:styleId="Ttulo2">
    <w:name w:val="heading 2"/>
    <w:basedOn w:val="Normal"/>
    <w:next w:val="Normal"/>
    <w:uiPriority w:val="9"/>
    <w:unhideWhenUsed/>
    <w:qFormat/>
    <w:pPr>
      <w:pBdr>
        <w:top w:val="nil"/>
        <w:left w:val="nil"/>
        <w:bottom w:val="nil"/>
        <w:right w:val="nil"/>
        <w:between w:val="nil"/>
      </w:pBdr>
      <w:spacing w:before="375" w:after="240"/>
      <w:outlineLvl w:val="1"/>
    </w:pPr>
    <w:rPr>
      <w:b/>
      <w:bCs/>
      <w:color w:val="2B6CB0"/>
      <w:sz w:val="28"/>
      <w:szCs w:val="28"/>
    </w:rPr>
  </w:style>
  <w:style w:type="paragraph" w:styleId="Ttulo3">
    <w:name w:val="heading 3"/>
    <w:basedOn w:val="Normal"/>
    <w:next w:val="Normal"/>
    <w:uiPriority w:val="9"/>
    <w:unhideWhenUsed/>
    <w:qFormat/>
    <w:pPr>
      <w:pBdr>
        <w:top w:val="nil"/>
        <w:left w:val="nil"/>
        <w:bottom w:val="nil"/>
        <w:right w:val="nil"/>
        <w:between w:val="nil"/>
      </w:pBdr>
      <w:spacing w:before="225" w:after="120"/>
      <w:outlineLvl w:val="2"/>
    </w:pPr>
    <w:rPr>
      <w:b/>
      <w:bCs/>
      <w:color w:val="2C5282"/>
      <w:sz w:val="24"/>
      <w:szCs w:val="24"/>
    </w:rPr>
  </w:style>
  <w:style w:type="paragraph" w:styleId="Ttulo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Ttulo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Ttulo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1722</Words>
  <Characters>9473</Characters>
  <Application>Microsoft Office Word</Application>
  <DocSecurity>0</DocSecurity>
  <Lines>78</Lines>
  <Paragraphs>22</Paragraphs>
  <ScaleCrop>false</ScaleCrop>
  <Company/>
  <LinksUpToDate>false</LinksUpToDate>
  <CharactersWithSpaces>11173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Amelia</dc:creator>
  <cp:lastModifiedBy>AMELIA TERESA APARCANA AVILA</cp:lastModifiedBy>
  <cp:revision>2</cp:revision>
  <dcterms:created xsi:type="dcterms:W3CDTF">2026-08-03T00:17:00Z</dcterms:created>
  <dcterms:modified xsi:type="dcterms:W3CDTF">2026-08-03T00:17:00Z</dcterms:modified>
</cp:coreProperties>
</file>