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DD6" w:rsidRDefault="00F3539A" w:rsidP="009D19A5">
      <w:pPr>
        <w:spacing w:before="100" w:beforeAutospacing="1" w:after="100" w:afterAutospacing="1" w:line="240" w:lineRule="auto"/>
        <w:jc w:val="center"/>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“Decenio de la Igualdad de oportunidades para mujeres y hombres 2018 - 2027”</w:t>
      </w:r>
      <w:r>
        <w:rPr>
          <w:rFonts w:ascii="Times New Roman" w:eastAsia="Times New Roman" w:hAnsi="Times New Roman" w:cs="Times New Roman"/>
          <w:sz w:val="24"/>
          <w:szCs w:val="24"/>
          <w:lang w:eastAsia="es-PE"/>
        </w:rPr>
        <w:br/>
      </w:r>
      <w:r>
        <w:rPr>
          <w:rFonts w:ascii="Times New Roman" w:eastAsia="Times New Roman" w:hAnsi="Times New Roman" w:cs="Times New Roman"/>
          <w:b/>
          <w:bCs/>
          <w:sz w:val="24"/>
          <w:szCs w:val="24"/>
          <w:lang w:eastAsia="es-PE"/>
        </w:rPr>
        <w:t>“Año de la Esperanza y el Fortalecimiento de la Democracia”</w:t>
      </w:r>
    </w:p>
    <w:p w:rsidR="00AE0DD6" w:rsidRDefault="00F3539A" w:rsidP="009D19A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 xml:space="preserve">SESIÓN DE APRENDIZAJE DE COMUNICACIÓN N.° </w:t>
      </w:r>
      <w:r w:rsidR="005C31F9">
        <w:rPr>
          <w:rFonts w:ascii="Times New Roman" w:eastAsia="Times New Roman" w:hAnsi="Times New Roman" w:cs="Times New Roman"/>
          <w:b/>
          <w:bCs/>
          <w:kern w:val="36"/>
          <w:sz w:val="48"/>
          <w:szCs w:val="48"/>
          <w:lang w:eastAsia="es-PE"/>
        </w:rPr>
        <w:t>10</w:t>
      </w:r>
    </w:p>
    <w:p w:rsidR="00AE0DD6" w:rsidRDefault="00F3539A">
      <w:pPr>
        <w:spacing w:before="100" w:beforeAutospacing="1" w:after="100" w:afterAutospacing="1" w:line="240" w:lineRule="auto"/>
        <w:outlineLvl w:val="1"/>
        <w:rPr>
          <w:rFonts w:ascii="Times New Roman" w:eastAsia="Times New Roman" w:hAnsi="Times New Roman" w:cs="Times New Roman"/>
          <w:b/>
          <w:bCs/>
          <w:sz w:val="36"/>
          <w:szCs w:val="36"/>
          <w:lang w:eastAsia="es-PE"/>
        </w:rPr>
      </w:pPr>
      <w:r>
        <w:rPr>
          <w:rFonts w:ascii="Times New Roman" w:eastAsia="Times New Roman" w:hAnsi="Times New Roman" w:cs="Times New Roman"/>
          <w:b/>
          <w:bCs/>
          <w:sz w:val="36"/>
          <w:szCs w:val="36"/>
          <w:lang w:eastAsia="es-PE"/>
        </w:rPr>
        <w:t>1. DATOS GENERALES</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9"/>
        <w:gridCol w:w="2424"/>
        <w:gridCol w:w="1547"/>
        <w:gridCol w:w="3756"/>
      </w:tblGrid>
      <w:tr w:rsidR="00AE0DD6">
        <w:trPr>
          <w:tblHeader/>
          <w:tblCellSpacing w:w="15" w:type="dxa"/>
        </w:trPr>
        <w:tc>
          <w:tcPr>
            <w:tcW w:w="0" w:type="auto"/>
            <w:vAlign w:val="center"/>
          </w:tcPr>
          <w:p w:rsidR="00AE0DD6" w:rsidRDefault="00F3539A">
            <w:pPr>
              <w:spacing w:after="0" w:line="240" w:lineRule="auto"/>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Institución Educativa</w:t>
            </w:r>
          </w:p>
        </w:tc>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Inca Garcilaso de la Vega</w:t>
            </w:r>
          </w:p>
        </w:tc>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Docente</w:t>
            </w:r>
          </w:p>
        </w:tc>
        <w:tc>
          <w:tcPr>
            <w:tcW w:w="3711" w:type="dxa"/>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Rogelio Contreras Delgado</w:t>
            </w:r>
          </w:p>
        </w:tc>
      </w:tr>
      <w:tr w:rsidR="00AE0DD6">
        <w:trPr>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Área</w:t>
            </w:r>
          </w:p>
        </w:tc>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Comunicación</w:t>
            </w:r>
          </w:p>
        </w:tc>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Grado/sección</w:t>
            </w:r>
          </w:p>
        </w:tc>
        <w:tc>
          <w:tcPr>
            <w:tcW w:w="3711" w:type="dxa"/>
            <w:vAlign w:val="center"/>
          </w:tcPr>
          <w:p w:rsidR="00AE0DD6" w:rsidRPr="009D19A5" w:rsidRDefault="00F3539A">
            <w:pPr>
              <w:spacing w:after="0" w:line="240" w:lineRule="auto"/>
              <w:rPr>
                <w:rFonts w:ascii="Times New Roman" w:eastAsia="Times New Roman" w:hAnsi="Times New Roman" w:cs="Times New Roman"/>
                <w:b/>
                <w:sz w:val="28"/>
                <w:szCs w:val="28"/>
                <w:lang w:eastAsia="es-PE"/>
              </w:rPr>
            </w:pPr>
            <w:r w:rsidRPr="009D19A5">
              <w:rPr>
                <w:rFonts w:ascii="Times New Roman" w:eastAsia="Times New Roman" w:hAnsi="Times New Roman" w:cs="Times New Roman"/>
                <w:b/>
                <w:sz w:val="28"/>
                <w:szCs w:val="28"/>
                <w:lang w:eastAsia="es-PE"/>
              </w:rPr>
              <w:t>Cuarto de secundaria</w:t>
            </w:r>
            <w:r w:rsidR="009D19A5" w:rsidRPr="009D19A5">
              <w:rPr>
                <w:rFonts w:ascii="Times New Roman" w:eastAsia="Times New Roman" w:hAnsi="Times New Roman" w:cs="Times New Roman"/>
                <w:b/>
                <w:sz w:val="28"/>
                <w:szCs w:val="28"/>
                <w:lang w:eastAsia="es-PE"/>
              </w:rPr>
              <w:t>/</w:t>
            </w:r>
            <w:r w:rsidR="009D19A5">
              <w:rPr>
                <w:rFonts w:ascii="Times New Roman" w:eastAsia="Times New Roman" w:hAnsi="Times New Roman" w:cs="Times New Roman"/>
                <w:b/>
                <w:sz w:val="28"/>
                <w:szCs w:val="28"/>
                <w:lang w:eastAsia="es-PE"/>
              </w:rPr>
              <w:t>Unica</w:t>
            </w:r>
          </w:p>
        </w:tc>
      </w:tr>
      <w:tr w:rsidR="00AE0DD6">
        <w:trPr>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Fecha</w:t>
            </w:r>
          </w:p>
        </w:tc>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22 de julio del 2026</w:t>
            </w:r>
          </w:p>
        </w:tc>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Duración</w:t>
            </w:r>
          </w:p>
        </w:tc>
        <w:tc>
          <w:tcPr>
            <w:tcW w:w="3711"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Dos horas pedagógica</w:t>
            </w:r>
          </w:p>
        </w:tc>
      </w:tr>
    </w:tbl>
    <w:p w:rsidR="00AE0DD6" w:rsidRPr="009D19A5" w:rsidRDefault="00F3539A" w:rsidP="009D19A5">
      <w:pPr>
        <w:spacing w:before="100" w:beforeAutospacing="1" w:after="100" w:afterAutospacing="1" w:line="240" w:lineRule="auto"/>
        <w:jc w:val="center"/>
        <w:outlineLvl w:val="2"/>
        <w:rPr>
          <w:rFonts w:ascii="Times New Roman" w:eastAsia="Times New Roman" w:hAnsi="Times New Roman" w:cs="Times New Roman"/>
          <w:b/>
          <w:bCs/>
          <w:sz w:val="32"/>
          <w:szCs w:val="32"/>
          <w:u w:val="single"/>
          <w:lang w:eastAsia="es-PE"/>
        </w:rPr>
      </w:pPr>
      <w:r w:rsidRPr="009D19A5">
        <w:rPr>
          <w:rFonts w:ascii="Times New Roman" w:eastAsia="Times New Roman" w:hAnsi="Times New Roman" w:cs="Times New Roman"/>
          <w:b/>
          <w:bCs/>
          <w:sz w:val="32"/>
          <w:szCs w:val="32"/>
          <w:u w:val="single"/>
          <w:lang w:eastAsia="es-PE"/>
        </w:rPr>
        <w:t>Tema de la sesión</w:t>
      </w:r>
    </w:p>
    <w:p w:rsidR="00AE0DD6" w:rsidRDefault="00F3539A">
      <w:pPr>
        <w:spacing w:before="100" w:beforeAutospacing="1" w:after="100" w:afterAutospacing="1" w:line="240" w:lineRule="auto"/>
        <w:rPr>
          <w:rFonts w:ascii="Times New Roman" w:eastAsia="Times New Roman" w:hAnsi="Times New Roman" w:cs="Times New Roman"/>
          <w:sz w:val="32"/>
          <w:szCs w:val="32"/>
          <w:lang w:eastAsia="es-PE"/>
        </w:rPr>
      </w:pPr>
      <w:r>
        <w:rPr>
          <w:rFonts w:ascii="Times New Roman" w:eastAsia="Times New Roman" w:hAnsi="Times New Roman" w:cs="Times New Roman"/>
          <w:b/>
          <w:bCs/>
          <w:sz w:val="32"/>
          <w:szCs w:val="32"/>
          <w:lang w:eastAsia="es-PE"/>
        </w:rPr>
        <w:t>Leemos y analizamos el texto argumentativo: “La importancia del ahorro para construir un mejor futuro”.</w:t>
      </w:r>
    </w:p>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2. PROPÓSITO DE APRENDIZAJE</w:t>
      </w:r>
    </w:p>
    <w:tbl>
      <w:tblPr>
        <w:tblW w:w="98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8179"/>
      </w:tblGrid>
      <w:tr w:rsidR="00AE0DD6">
        <w:trPr>
          <w:trHeight w:val="270"/>
          <w:tblHeader/>
          <w:tblCellSpacing w:w="15" w:type="dxa"/>
        </w:trPr>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Competencia</w:t>
            </w:r>
          </w:p>
        </w:tc>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Lee diversos tipos de textos escritos en su lengua materna.</w:t>
            </w:r>
          </w:p>
        </w:tc>
      </w:tr>
      <w:tr w:rsidR="00AE0DD6">
        <w:trPr>
          <w:trHeight w:val="830"/>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Capacidades</w:t>
            </w:r>
          </w:p>
        </w:tc>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Obtiene información del texto escrito.</w:t>
            </w:r>
            <w:r>
              <w:rPr>
                <w:rFonts w:ascii="Times New Roman" w:eastAsia="Times New Roman" w:hAnsi="Times New Roman" w:cs="Times New Roman"/>
                <w:sz w:val="24"/>
                <w:szCs w:val="24"/>
                <w:lang w:eastAsia="es-PE"/>
              </w:rPr>
              <w:br/>
              <w:t>• Infiere e interpreta información del texto.</w:t>
            </w:r>
            <w:r>
              <w:rPr>
                <w:rFonts w:ascii="Times New Roman" w:eastAsia="Times New Roman" w:hAnsi="Times New Roman" w:cs="Times New Roman"/>
                <w:sz w:val="24"/>
                <w:szCs w:val="24"/>
                <w:lang w:eastAsia="es-PE"/>
              </w:rPr>
              <w:br/>
              <w:t>• Reflexiona y evalúa la forma, el contenido y el contexto del texto.</w:t>
            </w:r>
          </w:p>
        </w:tc>
      </w:tr>
      <w:tr w:rsidR="00AE0DD6">
        <w:trPr>
          <w:trHeight w:val="1100"/>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Desempeño esperado</w:t>
            </w:r>
          </w:p>
        </w:tc>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Identifica la tesis, los argumentos, el contraargumento y la conclusión del texto argumentativo; interpreta información explícita e implícita y evalúa la validez de las ideas presentadas, fundamentando su opinión con argumentos.</w:t>
            </w:r>
          </w:p>
        </w:tc>
      </w:tr>
      <w:tr w:rsidR="00AE0DD6">
        <w:trPr>
          <w:trHeight w:val="1100"/>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Propósito de la sesión</w:t>
            </w:r>
          </w:p>
        </w:tc>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Los estudiantes leerán y analizarán un texto argumentativo sobre la importancia del ahorro para reconocer su estructura, comprender la función de los argumentos y reflexionar sobre la necesidad de desarrollar una cultura financiera responsable.</w:t>
            </w:r>
          </w:p>
        </w:tc>
      </w:tr>
    </w:tbl>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3. EVIDENCIA DE APRENDIZAJE</w:t>
      </w:r>
    </w:p>
    <w:p w:rsidR="00AE0DD6" w:rsidRDefault="00F3539A">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Los estudiantes elaboran un </w:t>
      </w:r>
      <w:r w:rsidRPr="005C31F9">
        <w:rPr>
          <w:rFonts w:ascii="Times New Roman" w:eastAsia="Times New Roman" w:hAnsi="Times New Roman" w:cs="Times New Roman"/>
          <w:b/>
          <w:bCs/>
          <w:sz w:val="32"/>
          <w:szCs w:val="32"/>
          <w:u w:val="single"/>
          <w:lang w:eastAsia="es-PE"/>
        </w:rPr>
        <w:t>organizador gráfico</w:t>
      </w:r>
      <w:r>
        <w:rPr>
          <w:rFonts w:ascii="Times New Roman" w:eastAsia="Times New Roman" w:hAnsi="Times New Roman" w:cs="Times New Roman"/>
          <w:sz w:val="24"/>
          <w:szCs w:val="24"/>
          <w:lang w:eastAsia="es-PE"/>
        </w:rPr>
        <w:t xml:space="preserve"> donde identifican la estructura del texto argumentativo (tema, tesis, argumentos, contraargumento y conclusión) y resuelven una ficha de comprensión lectora con preguntas de nivel literal, inferencial y crítico.</w:t>
      </w:r>
    </w:p>
    <w:p w:rsidR="00AE0DD6" w:rsidRDefault="00F3539A">
      <w:pPr>
        <w:spacing w:before="100" w:beforeAutospacing="1" w:after="100" w:afterAutospacing="1" w:line="240" w:lineRule="auto"/>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4. CRITERIOS DE EVALUACIÓN</w:t>
      </w:r>
      <w:bookmarkStart w:id="0" w:name="_GoBack"/>
      <w:bookmarkEnd w:id="0"/>
    </w:p>
    <w:p w:rsidR="00AE0DD6" w:rsidRDefault="00F3539A">
      <w:pPr>
        <w:numPr>
          <w:ilvl w:val="0"/>
          <w:numId w:val="3"/>
        </w:numPr>
        <w:pBdr>
          <w:top w:val="single" w:sz="4" w:space="1" w:color="auto"/>
          <w:left w:val="single" w:sz="4" w:space="4" w:color="auto"/>
          <w:bottom w:val="single" w:sz="4" w:space="1" w:color="auto"/>
          <w:right w:val="single" w:sz="4" w:space="4" w:color="auto"/>
          <w:between w:val="single" w:sz="4" w:space="1" w:color="auto"/>
        </w:pBd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lastRenderedPageBreak/>
        <w:t xml:space="preserve">Identifica correctamente el tema y la tesis del texto. </w:t>
      </w:r>
    </w:p>
    <w:p w:rsidR="00AE0DD6" w:rsidRDefault="00F3539A">
      <w:pPr>
        <w:numPr>
          <w:ilvl w:val="0"/>
          <w:numId w:val="3"/>
        </w:numPr>
        <w:pBdr>
          <w:top w:val="single" w:sz="4" w:space="1" w:color="auto"/>
          <w:left w:val="single" w:sz="4" w:space="4" w:color="auto"/>
          <w:bottom w:val="single" w:sz="4" w:space="1" w:color="auto"/>
          <w:right w:val="single" w:sz="4" w:space="4" w:color="auto"/>
          <w:between w:val="single" w:sz="4" w:space="1" w:color="auto"/>
        </w:pBd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Reconoce los argumentos que sustentan la posición del autor. </w:t>
      </w:r>
    </w:p>
    <w:p w:rsidR="00AE0DD6" w:rsidRDefault="00F3539A">
      <w:pPr>
        <w:numPr>
          <w:ilvl w:val="0"/>
          <w:numId w:val="3"/>
        </w:numPr>
        <w:pBdr>
          <w:top w:val="single" w:sz="4" w:space="1" w:color="auto"/>
          <w:left w:val="single" w:sz="4" w:space="4" w:color="auto"/>
          <w:bottom w:val="single" w:sz="4" w:space="1" w:color="auto"/>
          <w:right w:val="single" w:sz="4" w:space="4" w:color="auto"/>
          <w:between w:val="single" w:sz="4" w:space="1" w:color="auto"/>
        </w:pBd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Interpreta información explícita e implícita del texto. </w:t>
      </w:r>
    </w:p>
    <w:p w:rsidR="00AE0DD6" w:rsidRDefault="00F3539A">
      <w:pPr>
        <w:numPr>
          <w:ilvl w:val="0"/>
          <w:numId w:val="3"/>
        </w:numPr>
        <w:pBdr>
          <w:top w:val="single" w:sz="4" w:space="1" w:color="auto"/>
          <w:left w:val="single" w:sz="4" w:space="4" w:color="auto"/>
          <w:bottom w:val="single" w:sz="4" w:space="1" w:color="auto"/>
          <w:right w:val="single" w:sz="4" w:space="4" w:color="auto"/>
          <w:between w:val="single" w:sz="4" w:space="1" w:color="auto"/>
        </w:pBd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Evalúa la solidez de los argumentos expresando una opinión fundamentada. </w:t>
      </w:r>
    </w:p>
    <w:p w:rsidR="00AE0DD6" w:rsidRDefault="00F3539A">
      <w:pPr>
        <w:numPr>
          <w:ilvl w:val="0"/>
          <w:numId w:val="3"/>
        </w:numPr>
        <w:pBdr>
          <w:top w:val="single" w:sz="4" w:space="1" w:color="auto"/>
          <w:left w:val="single" w:sz="4" w:space="4" w:color="auto"/>
          <w:bottom w:val="single" w:sz="4" w:space="1" w:color="auto"/>
          <w:right w:val="single" w:sz="4" w:space="4" w:color="auto"/>
          <w:between w:val="single" w:sz="4" w:space="1" w:color="auto"/>
        </w:pBd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Participa activamente respetando las opiniones de sus compañeros.</w:t>
      </w:r>
    </w:p>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5. INSTRUMENTO DE EVALUACIÓN</w:t>
      </w:r>
    </w:p>
    <w:p w:rsidR="00AE0DD6" w:rsidRDefault="00F3539A">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Lista de cotejo</w:t>
      </w:r>
    </w:p>
    <w:tbl>
      <w:tblPr>
        <w:tblW w:w="878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91"/>
        <w:gridCol w:w="366"/>
        <w:gridCol w:w="1624"/>
        <w:gridCol w:w="506"/>
      </w:tblGrid>
      <w:tr w:rsidR="00AE0DD6">
        <w:trPr>
          <w:trHeight w:val="272"/>
          <w:tblHeader/>
          <w:tblCellSpacing w:w="15" w:type="dxa"/>
        </w:trPr>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Criterios</w:t>
            </w:r>
          </w:p>
        </w:tc>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Sí</w:t>
            </w:r>
          </w:p>
        </w:tc>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En proceso</w:t>
            </w:r>
          </w:p>
        </w:tc>
        <w:tc>
          <w:tcPr>
            <w:tcW w:w="0" w:type="auto"/>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No</w:t>
            </w:r>
          </w:p>
        </w:tc>
      </w:tr>
      <w:tr w:rsidR="00AE0DD6">
        <w:trPr>
          <w:trHeight w:val="282"/>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Identifica la tesis del texto.</w:t>
            </w:r>
          </w:p>
        </w:tc>
        <w:tc>
          <w:tcPr>
            <w:tcW w:w="0" w:type="auto"/>
            <w:vAlign w:val="center"/>
          </w:tcPr>
          <w:p w:rsidR="00AE0DD6" w:rsidRDefault="00AE0DD6">
            <w:pPr>
              <w:spacing w:after="0" w:line="240" w:lineRule="auto"/>
              <w:rPr>
                <w:rFonts w:ascii="Times New Roman" w:eastAsia="Times New Roman" w:hAnsi="Times New Roman" w:cs="Times New Roman"/>
                <w:sz w:val="24"/>
                <w:szCs w:val="24"/>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r>
      <w:tr w:rsidR="00AE0DD6">
        <w:trPr>
          <w:trHeight w:val="272"/>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Reconoce los argumentos principales.</w:t>
            </w:r>
          </w:p>
        </w:tc>
        <w:tc>
          <w:tcPr>
            <w:tcW w:w="0" w:type="auto"/>
            <w:vAlign w:val="center"/>
          </w:tcPr>
          <w:p w:rsidR="00AE0DD6" w:rsidRDefault="00AE0DD6">
            <w:pPr>
              <w:spacing w:after="0" w:line="240" w:lineRule="auto"/>
              <w:rPr>
                <w:rFonts w:ascii="Times New Roman" w:eastAsia="Times New Roman" w:hAnsi="Times New Roman" w:cs="Times New Roman"/>
                <w:sz w:val="24"/>
                <w:szCs w:val="24"/>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r>
      <w:tr w:rsidR="00AE0DD6">
        <w:trPr>
          <w:trHeight w:val="282"/>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Interpreta información implícita.</w:t>
            </w:r>
          </w:p>
        </w:tc>
        <w:tc>
          <w:tcPr>
            <w:tcW w:w="0" w:type="auto"/>
            <w:vAlign w:val="center"/>
          </w:tcPr>
          <w:p w:rsidR="00AE0DD6" w:rsidRDefault="00AE0DD6">
            <w:pPr>
              <w:spacing w:after="0" w:line="240" w:lineRule="auto"/>
              <w:rPr>
                <w:rFonts w:ascii="Times New Roman" w:eastAsia="Times New Roman" w:hAnsi="Times New Roman" w:cs="Times New Roman"/>
                <w:sz w:val="24"/>
                <w:szCs w:val="24"/>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r>
      <w:tr w:rsidR="00AE0DD6">
        <w:trPr>
          <w:trHeight w:val="272"/>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Fundamenta sus opiniones con argumentos.</w:t>
            </w:r>
          </w:p>
        </w:tc>
        <w:tc>
          <w:tcPr>
            <w:tcW w:w="0" w:type="auto"/>
            <w:vAlign w:val="center"/>
          </w:tcPr>
          <w:p w:rsidR="00AE0DD6" w:rsidRDefault="00AE0DD6">
            <w:pPr>
              <w:spacing w:after="0" w:line="240" w:lineRule="auto"/>
              <w:rPr>
                <w:rFonts w:ascii="Times New Roman" w:eastAsia="Times New Roman" w:hAnsi="Times New Roman" w:cs="Times New Roman"/>
                <w:sz w:val="24"/>
                <w:szCs w:val="24"/>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r>
      <w:tr w:rsidR="00AE0DD6">
        <w:trPr>
          <w:trHeight w:val="282"/>
          <w:tblCellSpacing w:w="15" w:type="dxa"/>
        </w:trPr>
        <w:tc>
          <w:tcPr>
            <w:tcW w:w="0" w:type="auto"/>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Participa respetando las normas de convivencia.</w:t>
            </w:r>
          </w:p>
        </w:tc>
        <w:tc>
          <w:tcPr>
            <w:tcW w:w="0" w:type="auto"/>
            <w:vAlign w:val="center"/>
          </w:tcPr>
          <w:p w:rsidR="00AE0DD6" w:rsidRDefault="00AE0DD6">
            <w:pPr>
              <w:spacing w:after="0" w:line="240" w:lineRule="auto"/>
              <w:rPr>
                <w:rFonts w:ascii="Times New Roman" w:eastAsia="Times New Roman" w:hAnsi="Times New Roman" w:cs="Times New Roman"/>
                <w:sz w:val="24"/>
                <w:szCs w:val="24"/>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c>
          <w:tcPr>
            <w:tcW w:w="0" w:type="auto"/>
            <w:vAlign w:val="center"/>
          </w:tcPr>
          <w:p w:rsidR="00AE0DD6" w:rsidRDefault="00AE0DD6">
            <w:pPr>
              <w:spacing w:after="0" w:line="240" w:lineRule="auto"/>
              <w:rPr>
                <w:rFonts w:ascii="Times New Roman" w:eastAsia="Times New Roman" w:hAnsi="Times New Roman" w:cs="Times New Roman"/>
                <w:sz w:val="20"/>
                <w:szCs w:val="20"/>
                <w:lang w:eastAsia="es-PE"/>
              </w:rPr>
            </w:pPr>
          </w:p>
        </w:tc>
      </w:tr>
    </w:tbl>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0FE6B3E6">
          <v:rect id="_x0000_i1025" style="width:0;height:1.5pt" o:hralign="center" o:hrstd="t" o:hr="t" fillcolor="#a0a0a0" stroked="f"/>
        </w:pict>
      </w:r>
    </w:p>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6. DESARROLLO DE LA SESIÓN</w:t>
      </w:r>
    </w:p>
    <w:tbl>
      <w:tblPr>
        <w:tblW w:w="85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74"/>
        <w:gridCol w:w="4784"/>
        <w:gridCol w:w="1275"/>
        <w:gridCol w:w="641"/>
      </w:tblGrid>
      <w:tr w:rsidR="00AE0DD6">
        <w:trPr>
          <w:tblHeader/>
          <w:tblCellSpacing w:w="15" w:type="dxa"/>
        </w:trPr>
        <w:tc>
          <w:tcPr>
            <w:tcW w:w="1829" w:type="dxa"/>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MOMENTOS</w:t>
            </w:r>
          </w:p>
        </w:tc>
        <w:tc>
          <w:tcPr>
            <w:tcW w:w="4754" w:type="dxa"/>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ACTIVIDADES</w:t>
            </w:r>
          </w:p>
        </w:tc>
        <w:tc>
          <w:tcPr>
            <w:tcW w:w="1245" w:type="dxa"/>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ESTRATEGIAS</w:t>
            </w:r>
          </w:p>
        </w:tc>
        <w:tc>
          <w:tcPr>
            <w:tcW w:w="596" w:type="dxa"/>
            <w:vAlign w:val="center"/>
          </w:tcPr>
          <w:p w:rsidR="00AE0DD6" w:rsidRDefault="00F3539A">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TIEMPO</w:t>
            </w:r>
          </w:p>
        </w:tc>
      </w:tr>
      <w:tr w:rsidR="00AE0DD6">
        <w:trPr>
          <w:tblCellSpacing w:w="15" w:type="dxa"/>
        </w:trPr>
        <w:tc>
          <w:tcPr>
            <w:tcW w:w="1829"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INICIO</w:t>
            </w:r>
            <w:r>
              <w:rPr>
                <w:rFonts w:ascii="Times New Roman" w:eastAsia="Times New Roman" w:hAnsi="Times New Roman" w:cs="Times New Roman"/>
                <w:sz w:val="24"/>
                <w:szCs w:val="24"/>
                <w:lang w:eastAsia="es-PE"/>
              </w:rPr>
              <w:br/>
              <w:t>Motivación, saberes previos, propósito</w:t>
            </w:r>
          </w:p>
        </w:tc>
        <w:tc>
          <w:tcPr>
            <w:tcW w:w="4754" w:type="dxa"/>
            <w:vAlign w:val="center"/>
          </w:tcPr>
          <w:p w:rsidR="00AE0DD6" w:rsidRDefault="00F3539A" w:rsidP="009D19A5">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El docente presenta una imagen de un </w:t>
            </w:r>
            <w:r w:rsidR="009D19A5">
              <w:rPr>
                <w:rFonts w:ascii="Times New Roman" w:eastAsia="Times New Roman" w:hAnsi="Times New Roman" w:cs="Times New Roman"/>
                <w:sz w:val="24"/>
                <w:szCs w:val="24"/>
                <w:lang w:eastAsia="es-PE"/>
              </w:rPr>
              <w:t>hombre mal</w:t>
            </w:r>
            <w:r>
              <w:rPr>
                <w:rFonts w:ascii="Times New Roman" w:eastAsia="Times New Roman" w:hAnsi="Times New Roman" w:cs="Times New Roman"/>
                <w:sz w:val="24"/>
                <w:szCs w:val="24"/>
                <w:lang w:eastAsia="es-PE"/>
              </w:rPr>
              <w:t xml:space="preserve"> gastando todo su dinero y otra de una </w:t>
            </w:r>
            <w:r w:rsidR="009D19A5">
              <w:rPr>
                <w:rFonts w:ascii="Times New Roman" w:eastAsia="Times New Roman" w:hAnsi="Times New Roman" w:cs="Times New Roman"/>
                <w:sz w:val="24"/>
                <w:szCs w:val="24"/>
                <w:lang w:eastAsia="es-PE"/>
              </w:rPr>
              <w:t>señorita</w:t>
            </w:r>
            <w:r>
              <w:rPr>
                <w:rFonts w:ascii="Times New Roman" w:eastAsia="Times New Roman" w:hAnsi="Times New Roman" w:cs="Times New Roman"/>
                <w:sz w:val="24"/>
                <w:szCs w:val="24"/>
                <w:lang w:eastAsia="es-PE"/>
              </w:rPr>
              <w:t xml:space="preserve"> depositando dinero en una cuenta de ahorros. Los estudiantes comentan cuál de las dos acciones consideran más responsable y explican sus razones. Luego responden: ¿Qué significa ahorrar?, ¿Crees que los jóvenes pueden ahorrar?, ¿Para qué sirve el ahorro? Se plantea el conflicto cognitivo: </w:t>
            </w:r>
            <w:r>
              <w:rPr>
                <w:rFonts w:ascii="Times New Roman" w:eastAsia="Times New Roman" w:hAnsi="Times New Roman" w:cs="Times New Roman"/>
                <w:b/>
                <w:bCs/>
                <w:sz w:val="24"/>
                <w:szCs w:val="24"/>
                <w:lang w:eastAsia="es-PE"/>
              </w:rPr>
              <w:t>¿Ahorrar depende de cuánto dinero se gana o de los hábitos financieros?</w:t>
            </w:r>
            <w:r>
              <w:rPr>
                <w:rFonts w:ascii="Times New Roman" w:eastAsia="Times New Roman" w:hAnsi="Times New Roman" w:cs="Times New Roman"/>
                <w:sz w:val="24"/>
                <w:szCs w:val="24"/>
                <w:lang w:eastAsia="es-PE"/>
              </w:rPr>
              <w:t xml:space="preserve"> Finalmente, se comunica el propósito de la sesión y los criterios de evaluación.</w:t>
            </w:r>
          </w:p>
        </w:tc>
        <w:tc>
          <w:tcPr>
            <w:tcW w:w="1245"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Lluvia de ideas, diálogo dirigido, preguntas problematizadoras y activación de saberes previos.</w:t>
            </w:r>
          </w:p>
        </w:tc>
        <w:tc>
          <w:tcPr>
            <w:tcW w:w="596"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20 min</w:t>
            </w:r>
          </w:p>
        </w:tc>
      </w:tr>
      <w:tr w:rsidR="00AE0DD6">
        <w:trPr>
          <w:tblCellSpacing w:w="15" w:type="dxa"/>
        </w:trPr>
        <w:tc>
          <w:tcPr>
            <w:tcW w:w="1829"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DESARROLLO</w:t>
            </w:r>
            <w:r>
              <w:rPr>
                <w:rFonts w:ascii="Times New Roman" w:eastAsia="Times New Roman" w:hAnsi="Times New Roman" w:cs="Times New Roman"/>
                <w:sz w:val="24"/>
                <w:szCs w:val="24"/>
                <w:lang w:eastAsia="es-PE"/>
              </w:rPr>
              <w:br/>
              <w:t>Construcción del aprendizaje</w:t>
            </w:r>
          </w:p>
        </w:tc>
        <w:tc>
          <w:tcPr>
            <w:tcW w:w="4754"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Los estudiantes realizan una lectura silenciosa del texto </w:t>
            </w:r>
            <w:r>
              <w:rPr>
                <w:rFonts w:ascii="Times New Roman" w:eastAsia="Times New Roman" w:hAnsi="Times New Roman" w:cs="Times New Roman"/>
                <w:b/>
                <w:bCs/>
                <w:sz w:val="24"/>
                <w:szCs w:val="24"/>
                <w:lang w:eastAsia="es-PE"/>
              </w:rPr>
              <w:t>"La importancia del ahorro para construir un mejor futuro"</w:t>
            </w:r>
            <w:r>
              <w:rPr>
                <w:rFonts w:ascii="Times New Roman" w:eastAsia="Times New Roman" w:hAnsi="Times New Roman" w:cs="Times New Roman"/>
                <w:sz w:val="24"/>
                <w:szCs w:val="24"/>
                <w:lang w:eastAsia="es-PE"/>
              </w:rPr>
              <w:t xml:space="preserve">. Posteriormente, efectúan una lectura compartida con orientación del docente, subrayando la tesis, los argumentos, el contraargumento y la conclusión. Analizan la estructura del texto argumentativo y completan un organizador gráfico. En equipos desarrollan </w:t>
            </w:r>
            <w:r>
              <w:rPr>
                <w:rFonts w:ascii="Times New Roman" w:eastAsia="Times New Roman" w:hAnsi="Times New Roman" w:cs="Times New Roman"/>
                <w:sz w:val="24"/>
                <w:szCs w:val="24"/>
                <w:lang w:eastAsia="es-PE"/>
              </w:rPr>
              <w:lastRenderedPageBreak/>
              <w:t>una ficha de comprensión lectora (nivel literal, inferencial y crítico). Finalmente, socializan sus respuestas y debaten sobre la importancia del ahorro en la vida cotidiana de los adolescentes, sustentando sus opiniones con argumentos.</w:t>
            </w:r>
          </w:p>
        </w:tc>
        <w:tc>
          <w:tcPr>
            <w:tcW w:w="1245"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lastRenderedPageBreak/>
              <w:t xml:space="preserve">Lectura comprensiva, subrayado, organizadores gráficos, aprendizaje cooperativo, </w:t>
            </w:r>
            <w:r>
              <w:rPr>
                <w:rFonts w:ascii="Times New Roman" w:eastAsia="Times New Roman" w:hAnsi="Times New Roman" w:cs="Times New Roman"/>
                <w:sz w:val="24"/>
                <w:szCs w:val="24"/>
                <w:lang w:eastAsia="es-PE"/>
              </w:rPr>
              <w:lastRenderedPageBreak/>
              <w:t>diálogo argumentativo y exposición grupal.</w:t>
            </w:r>
          </w:p>
        </w:tc>
        <w:tc>
          <w:tcPr>
            <w:tcW w:w="596"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lastRenderedPageBreak/>
              <w:t>90 min</w:t>
            </w:r>
          </w:p>
        </w:tc>
      </w:tr>
      <w:tr w:rsidR="00AE0DD6">
        <w:trPr>
          <w:tblCellSpacing w:w="15" w:type="dxa"/>
        </w:trPr>
        <w:tc>
          <w:tcPr>
            <w:tcW w:w="1829"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CIERRE</w:t>
            </w:r>
            <w:r>
              <w:rPr>
                <w:rFonts w:ascii="Times New Roman" w:eastAsia="Times New Roman" w:hAnsi="Times New Roman" w:cs="Times New Roman"/>
                <w:sz w:val="24"/>
                <w:szCs w:val="24"/>
                <w:lang w:eastAsia="es-PE"/>
              </w:rPr>
              <w:br/>
              <w:t>Reflexión, evaluación, metacognición</w:t>
            </w:r>
          </w:p>
        </w:tc>
        <w:tc>
          <w:tcPr>
            <w:tcW w:w="4754"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Los estudiantes responden: ¿Qué aprendí hoy?, ¿Cómo identifiqué la tesis y los argumentos?, ¿Por qué es importante desarrollar el hábito del ahorro desde la adolescencia?, ¿Cómo aplicaré este aprendizaje en mi vida? Como compromiso, redactan una acción concreta que realizarán para fortalecer su cultura financiera. El docente retroalimenta los aprendizajes y destaca la importancia de leer críticamente textos argumentativos.</w:t>
            </w:r>
          </w:p>
        </w:tc>
        <w:tc>
          <w:tcPr>
            <w:tcW w:w="1245"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Metacognición, reflexión individual, autoevaluación y retroalimentación formativa.</w:t>
            </w:r>
          </w:p>
        </w:tc>
        <w:tc>
          <w:tcPr>
            <w:tcW w:w="596" w:type="dxa"/>
            <w:vAlign w:val="center"/>
          </w:tcPr>
          <w:p w:rsidR="00AE0DD6" w:rsidRDefault="00F3539A">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25 min</w:t>
            </w:r>
          </w:p>
        </w:tc>
      </w:tr>
    </w:tbl>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79CC5A9B">
          <v:rect id="_x0000_i1026" style="width:0;height:1.5pt" o:hralign="center" o:hrstd="t" o:hr="t" fillcolor="#a0a0a0" stroked="f"/>
        </w:pict>
      </w:r>
    </w:p>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7. RECURSOS Y MATERIALES</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Texto argumentativo </w:t>
      </w:r>
      <w:r>
        <w:rPr>
          <w:rFonts w:ascii="Times New Roman" w:eastAsia="Times New Roman" w:hAnsi="Times New Roman" w:cs="Times New Roman"/>
          <w:b/>
          <w:bCs/>
          <w:sz w:val="24"/>
          <w:szCs w:val="24"/>
          <w:lang w:eastAsia="es-PE"/>
        </w:rPr>
        <w:t>"La importancia del ahorro para construir un mejor futuro".</w:t>
      </w:r>
      <w:r>
        <w:rPr>
          <w:rFonts w:ascii="Times New Roman" w:eastAsia="Times New Roman" w:hAnsi="Times New Roman" w:cs="Times New Roman"/>
          <w:sz w:val="24"/>
          <w:szCs w:val="24"/>
          <w:lang w:eastAsia="es-PE"/>
        </w:rPr>
        <w:t xml:space="preserve"> </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Ficha de comprensión lectora. </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Organizador gráfico. </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Papelotes. </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Plumones. </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Cuaderno de trabajo. </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Proyector (opcional). </w:t>
      </w:r>
    </w:p>
    <w:p w:rsidR="00AE0DD6" w:rsidRDefault="00F3539A">
      <w:pPr>
        <w:numPr>
          <w:ilvl w:val="0"/>
          <w:numId w:val="4"/>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Pizarra y fichas adhesivas. </w: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3F4F0354">
          <v:rect id="_x0000_i1027" style="width:0;height:1.5pt" o:hralign="center" o:hrstd="t" o:hr="t" fillcolor="#a0a0a0" stroked="f"/>
        </w:pict>
      </w:r>
    </w:p>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8. ATENCIÓN A LA DIVERSIDAD (Adaptaciones)</w:t>
      </w:r>
    </w:p>
    <w:p w:rsidR="00AE0DD6" w:rsidRDefault="00F3539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Se proporcionará una versión del texto con vocabulario destacado para estudiantes que requieran apoyo en la comprensión lectora. </w:t>
      </w:r>
    </w:p>
    <w:p w:rsidR="00AE0DD6" w:rsidRDefault="00F3539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Se organizarán equipos heterogéneos para favorecer el aprendizaje colaborativo. </w:t>
      </w:r>
    </w:p>
    <w:p w:rsidR="00AE0DD6" w:rsidRDefault="00F3539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El docente brindará acompañamiento personalizado a los estudiantes que presenten dificultades para identificar la tesis y los argumentos. </w:t>
      </w:r>
    </w:p>
    <w:p w:rsidR="00AE0DD6" w:rsidRDefault="00F3539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Se permitirá responder algunas preguntas de forma oral cuando existan necesidades educativas específicas. </w:t>
      </w:r>
    </w:p>
    <w:p w:rsidR="00AE0DD6" w:rsidRDefault="00F3539A">
      <w:pPr>
        <w:numPr>
          <w:ilvl w:val="0"/>
          <w:numId w:val="5"/>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Se ofrecerán ejemplos adicionales sobre la estructura del texto argumentativo para reforzar la comprensión. </w: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lastRenderedPageBreak/>
        <w:pict w14:anchorId="48C43A4D">
          <v:rect id="_x0000_i1028" style="width:0;height:1.5pt" o:hralign="center" o:hrstd="t" o:hr="t" fillcolor="#a0a0a0" stroked="f"/>
        </w:pict>
      </w:r>
    </w:p>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kern w:val="36"/>
          <w:sz w:val="48"/>
          <w:szCs w:val="48"/>
          <w:lang w:eastAsia="es-PE"/>
        </w:rPr>
        <w:t>9. OBSERVACIONES / REFLEXIÓN DOCENTE</w:t>
      </w:r>
    </w:p>
    <w:p w:rsidR="00AE0DD6" w:rsidRDefault="00F3539A">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i/>
          <w:iCs/>
          <w:sz w:val="24"/>
          <w:szCs w:val="24"/>
          <w:lang w:eastAsia="es-PE"/>
        </w:rPr>
        <w:t>(Se completará después de desarrollada la sesión).</w:t>
      </w:r>
    </w:p>
    <w:p w:rsidR="00AE0DD6" w:rsidRDefault="00F3539A">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¿Qué funcionó?</w: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6F469FC0">
          <v:rect id="_x0000_i1029" style="width:0;height:1.5pt" o:hralign="center" o:hrstd="t" o:hr="t" fillcolor="#a0a0a0" stroked="f"/>
        </w:pic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51170EB1">
          <v:rect id="_x0000_i1030" style="width:0;height:1.5pt" o:hralign="center" o:hrstd="t" o:hr="t" fillcolor="#a0a0a0" stroked="f"/>
        </w:pict>
      </w:r>
    </w:p>
    <w:p w:rsidR="00AE0DD6" w:rsidRDefault="00F3539A">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¿Qué dificultades se presentaron?</w: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127FEA24">
          <v:rect id="_x0000_i1031" style="width:0;height:1.5pt" o:hralign="center" o:hrstd="t" o:hr="t" fillcolor="#a0a0a0" stroked="f"/>
        </w:pic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087C8EA1">
          <v:rect id="_x0000_i1032" style="width:0;height:1.5pt" o:hralign="center" o:hrstd="t" o:hr="t" fillcolor="#a0a0a0" stroked="f"/>
        </w:pict>
      </w:r>
    </w:p>
    <w:p w:rsidR="00AE0DD6" w:rsidRDefault="00F3539A">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¿Qué estrategias debo mejorar para próximas sesiones?</w: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4C2A5E73">
          <v:rect id="_x0000_i1033" style="width:0;height:1.5pt" o:hralign="center" o:hrstd="t" o:hr="t" fillcolor="#a0a0a0" stroked="f"/>
        </w:pict>
      </w:r>
    </w:p>
    <w:p w:rsidR="00AE0DD6" w:rsidRDefault="00BC21CC">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pict w14:anchorId="4A0B0BA2">
          <v:rect id="_x0000_i1034" style="width:0;height:1.5pt" o:hralign="center" o:hrstd="t" o:hr="t" fillcolor="#a0a0a0" stroked="f"/>
        </w:pict>
      </w:r>
    </w:p>
    <w:p w:rsidR="00AE0DD6" w:rsidRDefault="00F3539A" w:rsidP="005C31F9">
      <w:pPr>
        <w:spacing w:before="100" w:beforeAutospacing="1" w:after="100" w:afterAutospacing="1" w:line="240" w:lineRule="auto"/>
        <w:jc w:val="right"/>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 xml:space="preserve">Llushcapampa, </w:t>
      </w:r>
      <w:r w:rsidR="005C31F9">
        <w:rPr>
          <w:rFonts w:ascii="Times New Roman" w:eastAsia="Times New Roman" w:hAnsi="Times New Roman" w:cs="Times New Roman"/>
          <w:b/>
          <w:bCs/>
          <w:sz w:val="24"/>
          <w:szCs w:val="24"/>
          <w:lang w:eastAsia="es-PE"/>
        </w:rPr>
        <w:t>22 de julio</w:t>
      </w:r>
      <w:r>
        <w:rPr>
          <w:rFonts w:ascii="Times New Roman" w:eastAsia="Times New Roman" w:hAnsi="Times New Roman" w:cs="Times New Roman"/>
          <w:b/>
          <w:bCs/>
          <w:sz w:val="24"/>
          <w:szCs w:val="24"/>
          <w:lang w:eastAsia="es-PE"/>
        </w:rPr>
        <w:t xml:space="preserve"> de 2026</w:t>
      </w:r>
    </w:p>
    <w:p w:rsidR="00AE0DD6" w:rsidRDefault="00F3539A">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w:t>
      </w:r>
    </w:p>
    <w:p w:rsidR="00AE0DD6" w:rsidRDefault="00F3539A">
      <w:pPr>
        <w:spacing w:before="100" w:beforeAutospacing="1" w:after="100" w:afterAutospacing="1" w:line="240" w:lineRule="auto"/>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_______________________________</w:t>
      </w:r>
      <w:r w:rsidR="005C31F9">
        <w:rPr>
          <w:rFonts w:ascii="Times New Roman" w:eastAsia="Times New Roman" w:hAnsi="Times New Roman" w:cs="Times New Roman"/>
          <w:b/>
          <w:bCs/>
          <w:sz w:val="24"/>
          <w:szCs w:val="24"/>
          <w:lang w:eastAsia="es-PE"/>
        </w:rPr>
        <w:t xml:space="preserve">                      V°B°________________________</w:t>
      </w:r>
      <w:r>
        <w:rPr>
          <w:rFonts w:ascii="Times New Roman" w:eastAsia="Times New Roman" w:hAnsi="Times New Roman" w:cs="Times New Roman"/>
          <w:sz w:val="24"/>
          <w:szCs w:val="24"/>
          <w:lang w:eastAsia="es-PE"/>
        </w:rPr>
        <w:br/>
      </w:r>
      <w:r w:rsidR="005C31F9">
        <w:rPr>
          <w:rFonts w:ascii="Times New Roman" w:eastAsia="Times New Roman" w:hAnsi="Times New Roman" w:cs="Times New Roman"/>
          <w:b/>
          <w:bCs/>
          <w:sz w:val="24"/>
          <w:szCs w:val="24"/>
          <w:lang w:eastAsia="es-PE"/>
        </w:rPr>
        <w:t xml:space="preserve">      </w:t>
      </w:r>
      <w:r>
        <w:rPr>
          <w:rFonts w:ascii="Times New Roman" w:eastAsia="Times New Roman" w:hAnsi="Times New Roman" w:cs="Times New Roman"/>
          <w:b/>
          <w:bCs/>
          <w:sz w:val="24"/>
          <w:szCs w:val="24"/>
          <w:lang w:eastAsia="es-PE"/>
        </w:rPr>
        <w:t>Rogelio Contreras Delgado</w:t>
      </w:r>
      <w:r w:rsidR="005C31F9">
        <w:rPr>
          <w:rFonts w:ascii="Times New Roman" w:eastAsia="Times New Roman" w:hAnsi="Times New Roman" w:cs="Times New Roman"/>
          <w:b/>
          <w:bCs/>
          <w:sz w:val="24"/>
          <w:szCs w:val="24"/>
          <w:lang w:eastAsia="es-PE"/>
        </w:rPr>
        <w:t xml:space="preserve">                                         Magrit Castillo Arteaga</w:t>
      </w:r>
      <w:r>
        <w:rPr>
          <w:rFonts w:ascii="Times New Roman" w:eastAsia="Times New Roman" w:hAnsi="Times New Roman" w:cs="Times New Roman"/>
          <w:sz w:val="24"/>
          <w:szCs w:val="24"/>
          <w:lang w:eastAsia="es-PE"/>
        </w:rPr>
        <w:br/>
      </w:r>
      <w:r>
        <w:rPr>
          <w:rFonts w:ascii="Times New Roman" w:eastAsia="Times New Roman" w:hAnsi="Times New Roman" w:cs="Times New Roman"/>
          <w:b/>
          <w:bCs/>
          <w:sz w:val="24"/>
          <w:szCs w:val="24"/>
          <w:lang w:eastAsia="es-PE"/>
        </w:rPr>
        <w:t>Docente del Área de Comunicación</w:t>
      </w:r>
      <w:r w:rsidR="005C31F9">
        <w:rPr>
          <w:rFonts w:ascii="Times New Roman" w:eastAsia="Times New Roman" w:hAnsi="Times New Roman" w:cs="Times New Roman"/>
          <w:b/>
          <w:bCs/>
          <w:sz w:val="24"/>
          <w:szCs w:val="24"/>
          <w:lang w:eastAsia="es-PE"/>
        </w:rPr>
        <w:t xml:space="preserve">                                              Directora</w:t>
      </w: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Default="00D90E0C">
      <w:pPr>
        <w:spacing w:before="100" w:beforeAutospacing="1" w:after="100" w:afterAutospacing="1" w:line="240" w:lineRule="auto"/>
        <w:rPr>
          <w:rFonts w:ascii="Times New Roman" w:eastAsia="Times New Roman" w:hAnsi="Times New Roman" w:cs="Times New Roman"/>
          <w:b/>
          <w:bCs/>
          <w:sz w:val="24"/>
          <w:szCs w:val="24"/>
          <w:lang w:eastAsia="es-PE"/>
        </w:rPr>
      </w:pPr>
    </w:p>
    <w:p w:rsidR="00D90E0C" w:rsidRPr="005C31F9" w:rsidRDefault="005C31F9" w:rsidP="005C31F9">
      <w:pPr>
        <w:spacing w:before="100" w:beforeAutospacing="1" w:after="100" w:afterAutospacing="1" w:line="240" w:lineRule="auto"/>
        <w:jc w:val="center"/>
        <w:rPr>
          <w:rFonts w:ascii="Times New Roman" w:eastAsia="Times New Roman" w:hAnsi="Times New Roman" w:cs="Times New Roman"/>
          <w:b/>
          <w:bCs/>
          <w:sz w:val="96"/>
          <w:szCs w:val="96"/>
          <w:lang w:eastAsia="es-PE"/>
        </w:rPr>
      </w:pPr>
      <w:r w:rsidRPr="005C31F9">
        <w:rPr>
          <w:rFonts w:ascii="Times New Roman" w:eastAsia="Times New Roman" w:hAnsi="Times New Roman" w:cs="Times New Roman"/>
          <w:b/>
          <w:bCs/>
          <w:sz w:val="96"/>
          <w:szCs w:val="96"/>
          <w:lang w:eastAsia="es-PE"/>
        </w:rPr>
        <w:lastRenderedPageBreak/>
        <w:t>Anexos</w:t>
      </w:r>
    </w:p>
    <w:p w:rsidR="00AE0DD6" w:rsidRDefault="00AE0DD6">
      <w:pPr>
        <w:spacing w:before="100" w:beforeAutospacing="1" w:after="100" w:afterAutospacing="1" w:line="240" w:lineRule="auto"/>
        <w:rPr>
          <w:rFonts w:ascii="Times New Roman" w:eastAsia="Times New Roman" w:hAnsi="Times New Roman" w:cs="Times New Roman"/>
          <w:sz w:val="24"/>
          <w:szCs w:val="24"/>
          <w:lang w:eastAsia="es-PE"/>
        </w:rPr>
      </w:pPr>
    </w:p>
    <w:p w:rsidR="00AE0DD6" w:rsidRDefault="00F35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PE"/>
        </w:rPr>
      </w:pPr>
      <w:r>
        <w:rPr>
          <w:rFonts w:ascii="Times New Roman" w:eastAsia="Times New Roman" w:hAnsi="Times New Roman" w:cs="Times New Roman"/>
          <w:b/>
          <w:bCs/>
          <w:noProof/>
          <w:kern w:val="36"/>
          <w:sz w:val="48"/>
          <w:szCs w:val="48"/>
          <w:lang w:eastAsia="es-PE"/>
        </w:rPr>
        <w:drawing>
          <wp:inline distT="0" distB="0" distL="0" distR="0">
            <wp:extent cx="5400040" cy="31299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7"/>
                    <a:stretch>
                      <a:fillRect/>
                    </a:stretch>
                  </pic:blipFill>
                  <pic:spPr>
                    <a:xfrm>
                      <a:off x="0" y="0"/>
                      <a:ext cx="5400040" cy="3129915"/>
                    </a:xfrm>
                    <a:prstGeom prst="rect">
                      <a:avLst/>
                    </a:prstGeom>
                  </pic:spPr>
                </pic:pic>
              </a:graphicData>
            </a:graphic>
          </wp:inline>
        </w:drawing>
      </w:r>
    </w:p>
    <w:p w:rsidR="00AE0DD6" w:rsidRDefault="00AE0DD6">
      <w:pPr>
        <w:rPr>
          <w:rFonts w:ascii="Times New Roman" w:eastAsia="Times New Roman" w:hAnsi="Times New Roman" w:cs="Times New Roman"/>
          <w:sz w:val="48"/>
          <w:szCs w:val="48"/>
          <w:lang w:eastAsia="es-PE"/>
        </w:rPr>
      </w:pPr>
    </w:p>
    <w:p w:rsidR="00AE0DD6" w:rsidRDefault="00F3539A">
      <w:pPr>
        <w:rPr>
          <w:rFonts w:ascii="Times New Roman" w:eastAsia="Times New Roman" w:hAnsi="Times New Roman" w:cs="Times New Roman"/>
          <w:sz w:val="48"/>
          <w:szCs w:val="48"/>
          <w:lang w:eastAsia="es-PE"/>
        </w:rPr>
      </w:pPr>
      <w:r>
        <w:rPr>
          <w:rFonts w:ascii="Times New Roman" w:eastAsia="Times New Roman" w:hAnsi="Times New Roman" w:cs="Times New Roman"/>
          <w:noProof/>
          <w:sz w:val="48"/>
          <w:szCs w:val="48"/>
          <w:lang w:eastAsia="es-PE"/>
        </w:rPr>
        <w:drawing>
          <wp:inline distT="0" distB="0" distL="0" distR="0">
            <wp:extent cx="5400040" cy="29203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8"/>
                    <a:stretch>
                      <a:fillRect/>
                    </a:stretch>
                  </pic:blipFill>
                  <pic:spPr>
                    <a:xfrm>
                      <a:off x="0" y="0"/>
                      <a:ext cx="5400040" cy="2920365"/>
                    </a:xfrm>
                    <a:prstGeom prst="rect">
                      <a:avLst/>
                    </a:prstGeom>
                  </pic:spPr>
                </pic:pic>
              </a:graphicData>
            </a:graphic>
          </wp:inline>
        </w:drawing>
      </w:r>
    </w:p>
    <w:p w:rsidR="00AE0DD6" w:rsidRDefault="00AE0DD6">
      <w:pPr>
        <w:rPr>
          <w:rFonts w:ascii="Times New Roman" w:eastAsia="Times New Roman" w:hAnsi="Times New Roman" w:cs="Times New Roman"/>
          <w:sz w:val="48"/>
          <w:szCs w:val="48"/>
          <w:lang w:eastAsia="es-PE"/>
        </w:rPr>
      </w:pPr>
    </w:p>
    <w:p w:rsidR="00D90E0C" w:rsidRDefault="00F3539A">
      <w:pPr>
        <w:tabs>
          <w:tab w:val="left" w:pos="1420"/>
        </w:tabs>
        <w:rPr>
          <w:rFonts w:ascii="Times New Roman" w:eastAsia="Times New Roman" w:hAnsi="Times New Roman" w:cs="Times New Roman"/>
          <w:sz w:val="48"/>
          <w:szCs w:val="48"/>
          <w:lang w:eastAsia="es-PE"/>
        </w:rPr>
      </w:pPr>
      <w:r>
        <w:rPr>
          <w:rFonts w:ascii="Times New Roman" w:eastAsia="Times New Roman" w:hAnsi="Times New Roman" w:cs="Times New Roman"/>
          <w:sz w:val="48"/>
          <w:szCs w:val="48"/>
          <w:lang w:eastAsia="es-PE"/>
        </w:rPr>
        <w:lastRenderedPageBreak/>
        <w:tab/>
      </w:r>
      <w:r>
        <w:rPr>
          <w:rFonts w:ascii="Times New Roman" w:eastAsia="Times New Roman" w:hAnsi="Times New Roman" w:cs="Times New Roman"/>
          <w:noProof/>
          <w:sz w:val="48"/>
          <w:szCs w:val="48"/>
          <w:lang w:eastAsia="es-PE"/>
        </w:rPr>
        <w:drawing>
          <wp:inline distT="0" distB="0" distL="0" distR="0">
            <wp:extent cx="5400040" cy="2947670"/>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9"/>
                    <a:stretch>
                      <a:fillRect/>
                    </a:stretch>
                  </pic:blipFill>
                  <pic:spPr>
                    <a:xfrm>
                      <a:off x="0" y="0"/>
                      <a:ext cx="5400040" cy="2947670"/>
                    </a:xfrm>
                    <a:prstGeom prst="rect">
                      <a:avLst/>
                    </a:prstGeom>
                  </pic:spPr>
                </pic:pic>
              </a:graphicData>
            </a:graphic>
          </wp:inline>
        </w:drawing>
      </w:r>
    </w:p>
    <w:p w:rsidR="004829C1" w:rsidRDefault="00D90E0C" w:rsidP="005C31F9">
      <w:pPr>
        <w:pStyle w:val="Ttulo1"/>
      </w:pPr>
      <w:r>
        <w:tab/>
      </w:r>
    </w:p>
    <w:p w:rsidR="00D90E0C" w:rsidRDefault="00D90E0C" w:rsidP="00D90E0C">
      <w:pPr>
        <w:pStyle w:val="Ttulo1"/>
        <w:jc w:val="center"/>
      </w:pPr>
      <w:r>
        <w:t>La importancia del ahorro para construir un mejor futuro</w:t>
      </w:r>
    </w:p>
    <w:p w:rsidR="00D90E0C" w:rsidRDefault="00D90E0C" w:rsidP="00D90E0C">
      <w:pPr>
        <w:pStyle w:val="isselectedend"/>
      </w:pPr>
      <w:r>
        <w:t>En la actualidad, muchas personas enfrentan dificultades económicas porque no tienen el hábito de ahorrar. Con frecuencia, los ingresos se destinan únicamente a satisfacer necesidades inmediatas o gastos impulsivos, dejando de lado la planificación financiera. Por ello, considero que conocer y practicar las diferentes clases de ahorro es fundamental para desarrollar una sólida cultura financiera y garantizar un futuro más seguro.</w:t>
      </w:r>
    </w:p>
    <w:p w:rsidR="00D90E0C" w:rsidRDefault="00D90E0C" w:rsidP="00D90E0C">
      <w:pPr>
        <w:pStyle w:val="isselectedend"/>
      </w:pPr>
      <w:r>
        <w:t>En primer lugar, el ahorro permite afrontar situaciones imprevistas. Nadie está libre de enfrentar una enfermedad, un accidente o la pérdida del empleo. En estos casos, contar con un ahorro preventivo brinda tranquilidad y evita recurrir a préstamos que, muchas veces, generan deudas difíciles de pagar. Esto demuestra que ahorrar no significa privarse de gastar, sino prepararse responsablemente para cualquier eventualidad.</w:t>
      </w:r>
    </w:p>
    <w:p w:rsidR="00D90E0C" w:rsidRDefault="00D90E0C" w:rsidP="00D90E0C">
      <w:pPr>
        <w:pStyle w:val="isselectedend"/>
      </w:pPr>
      <w:r>
        <w:t>Asimismo, las distintas clases de ahorro ayudan a alcanzar metas personales y familiares. El ahorro a corto, mediano y largo plazo permite planificar la compra de bienes, financiar estudios, emprender un negocio o incluso adquirir una vivienda. Cuando una persona establece objetivos claros y destina parte de sus ingresos para cumplirlos, desarrolla disciplina, organización y compromiso con su propio bienestar.</w:t>
      </w:r>
    </w:p>
    <w:p w:rsidR="00D90E0C" w:rsidRDefault="00D90E0C" w:rsidP="00D90E0C">
      <w:pPr>
        <w:pStyle w:val="isselectedend"/>
      </w:pPr>
      <w:r>
        <w:t xml:space="preserve">Otro aspecto importante es la diferencia entre el ahorro formal y el ahorro informal. Guardar el dinero en una institución financiera ofrece mayor seguridad y, en muchos casos, permite obtener intereses que incrementan el capital ahorrado. En cambio, </w:t>
      </w:r>
      <w:r>
        <w:lastRenderedPageBreak/>
        <w:t>conservar el dinero únicamente en casa implica riesgos de pérdida, robo o uso impulsivo. Por esta razón, es recomendable utilizar los servicios de entidades financieras confiables para proteger el patrimonio.</w:t>
      </w:r>
    </w:p>
    <w:p w:rsidR="00D90E0C" w:rsidRDefault="00D90E0C" w:rsidP="00D90E0C">
      <w:pPr>
        <w:pStyle w:val="isselectedend"/>
      </w:pPr>
      <w:r>
        <w:t>Algunas personas sostienen que solo quienes tienen altos ingresos pueden ahorrar. Sin embargo, esta afirmación no es correcta. El ahorro depende principalmente de los hábitos y de una adecuada administración del dinero. Incluso pequeñas cantidades, depositadas de manera constante, pueden convertirse en un importante respaldo económico con el paso del tiempo.</w:t>
      </w:r>
    </w:p>
    <w:p w:rsidR="00D90E0C" w:rsidRDefault="00D90E0C" w:rsidP="00D90E0C">
      <w:pPr>
        <w:pStyle w:val="NormalWeb"/>
      </w:pPr>
      <w:r>
        <w:t>En conclusión, practicar las diferentes clases de ahorro fortalece la cultura financiera, promueve la responsabilidad en el manejo del dinero y contribuye a mejorar la calidad de vida. Por ello, es indispensable que las familias y las instituciones educativas fomenten desde edades tempranas el hábito del ahorro, formando ciudadanos capaces de tomar decisiones financieras responsables y construir un futuro con mayor estabilidad y bienestar.</w:t>
      </w:r>
    </w:p>
    <w:p w:rsidR="00D90E0C" w:rsidRDefault="00D90E0C" w:rsidP="00D90E0C">
      <w:pPr>
        <w:spacing w:before="100" w:beforeAutospacing="1" w:after="100" w:afterAutospacing="1" w:line="240" w:lineRule="auto"/>
        <w:outlineLvl w:val="1"/>
        <w:rPr>
          <w:rFonts w:ascii="Times New Roman" w:eastAsia="Times New Roman" w:hAnsi="Times New Roman" w:cs="Times New Roman"/>
          <w:b/>
          <w:bCs/>
          <w:sz w:val="36"/>
          <w:szCs w:val="36"/>
          <w:lang w:eastAsia="es-PE"/>
        </w:rPr>
      </w:pPr>
      <w:r>
        <w:rPr>
          <w:rFonts w:ascii="Times New Roman" w:eastAsia="Times New Roman" w:hAnsi="Times New Roman" w:cs="Times New Roman"/>
          <w:b/>
          <w:bCs/>
          <w:sz w:val="36"/>
          <w:szCs w:val="36"/>
          <w:lang w:eastAsia="es-PE"/>
        </w:rPr>
        <w:t>Importancia del ahorro</w:t>
      </w:r>
    </w:p>
    <w:p w:rsidR="00D90E0C" w:rsidRDefault="00D90E0C" w:rsidP="00D90E0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Permite alcanzar metas personales y familiares. </w:t>
      </w:r>
    </w:p>
    <w:p w:rsidR="00D90E0C" w:rsidRDefault="00D90E0C" w:rsidP="00D90E0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Ayuda a enfrentar imprevistos económicos. </w:t>
      </w:r>
    </w:p>
    <w:p w:rsidR="00D90E0C" w:rsidRDefault="00D90E0C" w:rsidP="00D90E0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Reduce el endeudamiento innecesario. </w:t>
      </w:r>
    </w:p>
    <w:p w:rsidR="00D90E0C" w:rsidRDefault="00D90E0C" w:rsidP="00D90E0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Fomenta la disciplina y la responsabilidad financiera. </w:t>
      </w:r>
    </w:p>
    <w:p w:rsidR="00D90E0C" w:rsidRDefault="00D90E0C" w:rsidP="00D90E0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Contribuye a una mejor calidad de vida. </w:t>
      </w:r>
    </w:p>
    <w:p w:rsidR="00D90E0C" w:rsidRDefault="00D90E0C" w:rsidP="00D90E0C">
      <w:pPr>
        <w:spacing w:before="100" w:beforeAutospacing="1" w:after="100" w:afterAutospacing="1" w:line="240" w:lineRule="auto"/>
        <w:outlineLvl w:val="1"/>
        <w:rPr>
          <w:rFonts w:ascii="Times New Roman" w:eastAsia="Times New Roman" w:hAnsi="Times New Roman" w:cs="Times New Roman"/>
          <w:b/>
          <w:bCs/>
          <w:sz w:val="36"/>
          <w:szCs w:val="36"/>
          <w:lang w:eastAsia="es-PE"/>
        </w:rPr>
      </w:pPr>
      <w:r>
        <w:rPr>
          <w:rFonts w:ascii="Times New Roman" w:eastAsia="Times New Roman" w:hAnsi="Times New Roman" w:cs="Times New Roman"/>
          <w:b/>
          <w:bCs/>
          <w:sz w:val="36"/>
          <w:szCs w:val="36"/>
          <w:lang w:eastAsia="es-PE"/>
        </w:rPr>
        <w:t>Recomendaciones para ahorrar</w:t>
      </w:r>
    </w:p>
    <w:p w:rsidR="00D90E0C" w:rsidRDefault="00D90E0C" w:rsidP="00D90E0C">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Elaborar un presupuesto mensual. </w:t>
      </w:r>
    </w:p>
    <w:p w:rsidR="00D90E0C" w:rsidRDefault="00D90E0C" w:rsidP="00D90E0C">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Ahorrar primero y gastar después. </w:t>
      </w:r>
    </w:p>
    <w:p w:rsidR="00D90E0C" w:rsidRDefault="00D90E0C" w:rsidP="00D90E0C">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Destinar entre el 10 % y el 20 % de los ingresos al ahorro, cuando sea posible. </w:t>
      </w:r>
    </w:p>
    <w:p w:rsidR="00D90E0C" w:rsidRDefault="00D90E0C" w:rsidP="00D90E0C">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Evitar compras impulsivas. </w:t>
      </w:r>
    </w:p>
    <w:p w:rsidR="00D90E0C" w:rsidRDefault="00D90E0C" w:rsidP="00D90E0C">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Definir metas claras y realistas. </w:t>
      </w:r>
    </w:p>
    <w:p w:rsidR="00D90E0C" w:rsidRDefault="00D90E0C" w:rsidP="00D90E0C">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Utilizar cuentas de ahorro en instituciones financieras confiables. </w:t>
      </w:r>
    </w:p>
    <w:p w:rsidR="00D90E0C" w:rsidRDefault="00D90E0C" w:rsidP="00D90E0C">
      <w:pPr>
        <w:spacing w:before="100" w:beforeAutospacing="1" w:after="100" w:afterAutospacing="1" w:line="240" w:lineRule="auto"/>
        <w:outlineLvl w:val="2"/>
        <w:rPr>
          <w:rFonts w:ascii="Times New Roman" w:eastAsia="Times New Roman" w:hAnsi="Times New Roman" w:cs="Times New Roman"/>
          <w:b/>
          <w:bCs/>
          <w:sz w:val="27"/>
          <w:szCs w:val="27"/>
          <w:lang w:eastAsia="es-PE"/>
        </w:rPr>
      </w:pPr>
      <w:r>
        <w:rPr>
          <w:rFonts w:ascii="Times New Roman" w:eastAsia="Times New Roman" w:hAnsi="Times New Roman" w:cs="Times New Roman"/>
          <w:b/>
          <w:bCs/>
          <w:sz w:val="27"/>
          <w:szCs w:val="27"/>
          <w:lang w:eastAsia="es-PE"/>
        </w:rPr>
        <w:t>Esquema resumen</w:t>
      </w:r>
    </w:p>
    <w:tbl>
      <w:tblPr>
        <w:tblW w:w="949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1"/>
        <w:gridCol w:w="2895"/>
        <w:gridCol w:w="3690"/>
      </w:tblGrid>
      <w:tr w:rsidR="00D90E0C" w:rsidTr="00E0498F">
        <w:trPr>
          <w:trHeight w:val="394"/>
          <w:tblHeader/>
          <w:tblCellSpacing w:w="15" w:type="dxa"/>
        </w:trPr>
        <w:tc>
          <w:tcPr>
            <w:tcW w:w="0" w:type="auto"/>
            <w:vAlign w:val="center"/>
          </w:tcPr>
          <w:p w:rsidR="00D90E0C" w:rsidRDefault="00D90E0C" w:rsidP="00E0498F">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Clase de ahorro</w:t>
            </w:r>
          </w:p>
        </w:tc>
        <w:tc>
          <w:tcPr>
            <w:tcW w:w="0" w:type="auto"/>
            <w:vAlign w:val="center"/>
          </w:tcPr>
          <w:p w:rsidR="00D90E0C" w:rsidRDefault="00D90E0C" w:rsidP="00E0498F">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Finalidad</w:t>
            </w:r>
          </w:p>
        </w:tc>
        <w:tc>
          <w:tcPr>
            <w:tcW w:w="0" w:type="auto"/>
            <w:vAlign w:val="center"/>
          </w:tcPr>
          <w:p w:rsidR="00D90E0C" w:rsidRDefault="00D90E0C" w:rsidP="00E0498F">
            <w:pPr>
              <w:spacing w:after="0" w:line="240" w:lineRule="auto"/>
              <w:jc w:val="center"/>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Ejemplo</w:t>
            </w:r>
          </w:p>
        </w:tc>
      </w:tr>
      <w:tr w:rsidR="00D90E0C" w:rsidTr="00E0498F">
        <w:trPr>
          <w:trHeight w:val="409"/>
          <w:tblCellSpacing w:w="15" w:type="dxa"/>
        </w:trPr>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Preventivo o previsional</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Atender emergencias</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Gastos médicos</w:t>
            </w:r>
          </w:p>
        </w:tc>
      </w:tr>
      <w:tr w:rsidR="00D90E0C" w:rsidTr="00E0498F">
        <w:trPr>
          <w:trHeight w:val="394"/>
          <w:tblCellSpacing w:w="15" w:type="dxa"/>
        </w:trPr>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Para metas</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Cumplir objetivos</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Comprar una Motocicleta</w:t>
            </w:r>
          </w:p>
        </w:tc>
      </w:tr>
      <w:tr w:rsidR="00D90E0C" w:rsidTr="00E0498F">
        <w:trPr>
          <w:trHeight w:val="409"/>
          <w:tblCellSpacing w:w="15" w:type="dxa"/>
        </w:trPr>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Corto plazo</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Menos de 1 año</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Útiles escolares</w:t>
            </w:r>
          </w:p>
        </w:tc>
      </w:tr>
      <w:tr w:rsidR="00D90E0C" w:rsidTr="00E0498F">
        <w:trPr>
          <w:trHeight w:val="394"/>
          <w:tblCellSpacing w:w="15" w:type="dxa"/>
        </w:trPr>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Mediano plazo</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1 a 5 años</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Estudios técnicos</w:t>
            </w:r>
          </w:p>
        </w:tc>
      </w:tr>
      <w:tr w:rsidR="00D90E0C" w:rsidTr="00E0498F">
        <w:trPr>
          <w:trHeight w:val="409"/>
          <w:tblCellSpacing w:w="15" w:type="dxa"/>
        </w:trPr>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Largo plazo</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Más de 5 años</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Vivienda o jubilación</w:t>
            </w:r>
          </w:p>
        </w:tc>
      </w:tr>
      <w:tr w:rsidR="00D90E0C" w:rsidTr="00E0498F">
        <w:trPr>
          <w:trHeight w:val="409"/>
          <w:tblCellSpacing w:w="15" w:type="dxa"/>
        </w:trPr>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Formal</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En entidades financieras</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Cuenta de ahorros</w:t>
            </w:r>
          </w:p>
        </w:tc>
      </w:tr>
      <w:tr w:rsidR="00D90E0C" w:rsidTr="00E0498F">
        <w:trPr>
          <w:trHeight w:val="394"/>
          <w:tblCellSpacing w:w="15" w:type="dxa"/>
        </w:trPr>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lastRenderedPageBreak/>
              <w:t>Informal</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En casa o alcancía</w:t>
            </w:r>
          </w:p>
        </w:tc>
        <w:tc>
          <w:tcPr>
            <w:tcW w:w="0" w:type="auto"/>
            <w:vAlign w:val="center"/>
          </w:tcPr>
          <w:p w:rsidR="00D90E0C" w:rsidRDefault="00D90E0C" w:rsidP="00E0498F">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Guardar dinero en una alcancía</w:t>
            </w:r>
          </w:p>
        </w:tc>
      </w:tr>
    </w:tbl>
    <w:p w:rsidR="00D90E0C" w:rsidRDefault="00D90E0C" w:rsidP="00D90E0C">
      <w:pPr>
        <w:spacing w:before="100" w:beforeAutospacing="1" w:after="100" w:afterAutospacing="1" w:line="240" w:lineRule="auto"/>
        <w:outlineLvl w:val="2"/>
        <w:rPr>
          <w:rFonts w:ascii="Times New Roman" w:eastAsia="Times New Roman" w:hAnsi="Times New Roman" w:cs="Times New Roman"/>
          <w:b/>
          <w:bCs/>
          <w:sz w:val="27"/>
          <w:szCs w:val="27"/>
          <w:lang w:eastAsia="es-PE"/>
        </w:rPr>
      </w:pPr>
      <w:r>
        <w:rPr>
          <w:rFonts w:ascii="Times New Roman" w:eastAsia="Times New Roman" w:hAnsi="Times New Roman" w:cs="Times New Roman"/>
          <w:b/>
          <w:bCs/>
          <w:sz w:val="27"/>
          <w:szCs w:val="27"/>
          <w:lang w:eastAsia="es-PE"/>
        </w:rPr>
        <w:t>Reflexión</w:t>
      </w:r>
    </w:p>
    <w:p w:rsidR="00D90E0C" w:rsidRDefault="00D90E0C" w:rsidP="00D90E0C">
      <w:pPr>
        <w:spacing w:before="100" w:beforeAutospacing="1" w:after="100" w:afterAutospacing="1"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El ahorro no depende únicamente de cuánto dinero se gana, sino del hábito de administrar responsablemente los recursos disponibles. Incluso pequeñas cantidades ahorradas de forma constante pueden convertirse en un apoyo importante para el futuro.</w:t>
      </w:r>
    </w:p>
    <w:p w:rsidR="00AE0DD6" w:rsidRPr="00D90E0C" w:rsidRDefault="00AE0DD6" w:rsidP="00D90E0C">
      <w:pPr>
        <w:tabs>
          <w:tab w:val="left" w:pos="1315"/>
        </w:tabs>
        <w:rPr>
          <w:rFonts w:ascii="Times New Roman" w:eastAsia="Times New Roman" w:hAnsi="Times New Roman" w:cs="Times New Roman"/>
          <w:sz w:val="48"/>
          <w:szCs w:val="48"/>
          <w:lang w:eastAsia="es-PE"/>
        </w:rPr>
      </w:pPr>
    </w:p>
    <w:sectPr w:rsidR="00AE0DD6" w:rsidRPr="00D90E0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1CC" w:rsidRDefault="00BC21CC">
      <w:pPr>
        <w:spacing w:line="240" w:lineRule="auto"/>
      </w:pPr>
      <w:r>
        <w:separator/>
      </w:r>
    </w:p>
  </w:endnote>
  <w:endnote w:type="continuationSeparator" w:id="0">
    <w:p w:rsidR="00BC21CC" w:rsidRDefault="00BC21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1CC" w:rsidRDefault="00BC21CC">
      <w:pPr>
        <w:spacing w:after="0"/>
      </w:pPr>
      <w:r>
        <w:separator/>
      </w:r>
    </w:p>
  </w:footnote>
  <w:footnote w:type="continuationSeparator" w:id="0">
    <w:p w:rsidR="00BC21CC" w:rsidRDefault="00BC21C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1EE4"/>
    <w:multiLevelType w:val="multilevel"/>
    <w:tmpl w:val="03591E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9B74C3"/>
    <w:multiLevelType w:val="multilevel"/>
    <w:tmpl w:val="199B74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CE77E5E"/>
    <w:multiLevelType w:val="multilevel"/>
    <w:tmpl w:val="1CE77E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7757184"/>
    <w:multiLevelType w:val="multilevel"/>
    <w:tmpl w:val="277571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7A9D28A9"/>
    <w:multiLevelType w:val="multilevel"/>
    <w:tmpl w:val="7A9D28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EE9"/>
    <w:rsid w:val="00137EDD"/>
    <w:rsid w:val="00357EE9"/>
    <w:rsid w:val="00476031"/>
    <w:rsid w:val="004829C1"/>
    <w:rsid w:val="004E4422"/>
    <w:rsid w:val="004F087C"/>
    <w:rsid w:val="005C31F9"/>
    <w:rsid w:val="00825FF0"/>
    <w:rsid w:val="009D19A5"/>
    <w:rsid w:val="00AE0DD6"/>
    <w:rsid w:val="00B92412"/>
    <w:rsid w:val="00BC21CC"/>
    <w:rsid w:val="00D40443"/>
    <w:rsid w:val="00D90E0C"/>
    <w:rsid w:val="00E2588F"/>
    <w:rsid w:val="00F3539A"/>
    <w:rsid w:val="00F73687"/>
    <w:rsid w:val="4A3E4892"/>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D9906A-3D74-46F4-9F86-CB4B01236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Ttulo1">
    <w:name w:val="heading 1"/>
    <w:basedOn w:val="Normal"/>
    <w:link w:val="Ttulo1C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link w:val="Ttulo2C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Textoennegrita">
    <w:name w:val="Strong"/>
    <w:basedOn w:val="Fuentedeprrafopredeter"/>
    <w:uiPriority w:val="22"/>
    <w:qFormat/>
    <w:rPr>
      <w:b/>
      <w:b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1Car">
    <w:name w:val="Título 1 Car"/>
    <w:basedOn w:val="Fuentedeprrafopredeter"/>
    <w:link w:val="Ttulo1"/>
    <w:uiPriority w:val="9"/>
    <w:qFormat/>
    <w:rPr>
      <w:rFonts w:ascii="Times New Roman" w:eastAsia="Times New Roman" w:hAnsi="Times New Roman" w:cs="Times New Roman"/>
      <w:b/>
      <w:bCs/>
      <w:kern w:val="36"/>
      <w:sz w:val="48"/>
      <w:szCs w:val="48"/>
      <w:lang w:eastAsia="es-PE"/>
    </w:rPr>
  </w:style>
  <w:style w:type="character" w:customStyle="1" w:styleId="Ttulo2Car">
    <w:name w:val="Título 2 Car"/>
    <w:basedOn w:val="Fuentedeprrafopredeter"/>
    <w:link w:val="Ttulo2"/>
    <w:uiPriority w:val="9"/>
    <w:qFormat/>
    <w:rPr>
      <w:rFonts w:ascii="Times New Roman" w:eastAsia="Times New Roman" w:hAnsi="Times New Roman" w:cs="Times New Roman"/>
      <w:b/>
      <w:bCs/>
      <w:sz w:val="36"/>
      <w:szCs w:val="36"/>
      <w:lang w:eastAsia="es-PE"/>
    </w:rPr>
  </w:style>
  <w:style w:type="character" w:customStyle="1" w:styleId="Ttulo3Car">
    <w:name w:val="Título 3 Car"/>
    <w:basedOn w:val="Fuentedeprrafopredeter"/>
    <w:link w:val="Ttulo3"/>
    <w:uiPriority w:val="9"/>
    <w:qFormat/>
    <w:rPr>
      <w:rFonts w:ascii="Times New Roman" w:eastAsia="Times New Roman" w:hAnsi="Times New Roman" w:cs="Times New Roman"/>
      <w:b/>
      <w:bCs/>
      <w:sz w:val="27"/>
      <w:szCs w:val="27"/>
      <w:lang w:eastAsia="es-PE"/>
    </w:rPr>
  </w:style>
  <w:style w:type="paragraph" w:customStyle="1" w:styleId="z-Principiodelformulario1">
    <w:name w:val="z-Principio del formulario1"/>
    <w:basedOn w:val="Normal"/>
    <w:next w:val="Normal"/>
    <w:link w:val="z-PrincipiodelformularioCar"/>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lang w:eastAsia="es-PE"/>
    </w:rPr>
  </w:style>
  <w:style w:type="character" w:customStyle="1" w:styleId="z-PrincipiodelformularioCar">
    <w:name w:val="z-Principio del formulario Car"/>
    <w:basedOn w:val="Fuentedeprrafopredeter"/>
    <w:link w:val="z-Principiodelformulario1"/>
    <w:uiPriority w:val="99"/>
    <w:semiHidden/>
    <w:qFormat/>
    <w:rPr>
      <w:rFonts w:ascii="Arial" w:eastAsia="Times New Roman" w:hAnsi="Arial" w:cs="Arial"/>
      <w:vanish/>
      <w:sz w:val="16"/>
      <w:szCs w:val="16"/>
      <w:lang w:eastAsia="es-PE"/>
    </w:rPr>
  </w:style>
  <w:style w:type="paragraph" w:customStyle="1" w:styleId="placeholder">
    <w:name w:val="placeholder"/>
    <w:basedOn w:val="Normal"/>
    <w:qFormat/>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z-Finaldelformulario1">
    <w:name w:val="z-Final del formulario1"/>
    <w:basedOn w:val="Normal"/>
    <w:next w:val="Normal"/>
    <w:link w:val="z-FinaldelformularioCar"/>
    <w:uiPriority w:val="99"/>
    <w:semiHidden/>
    <w:unhideWhenUsed/>
    <w:qFormat/>
    <w:pPr>
      <w:pBdr>
        <w:top w:val="single" w:sz="6" w:space="1" w:color="auto"/>
      </w:pBdr>
      <w:spacing w:after="0" w:line="240" w:lineRule="auto"/>
      <w:jc w:val="center"/>
    </w:pPr>
    <w:rPr>
      <w:rFonts w:ascii="Arial" w:eastAsia="Times New Roman" w:hAnsi="Arial" w:cs="Arial"/>
      <w:vanish/>
      <w:sz w:val="16"/>
      <w:szCs w:val="16"/>
      <w:lang w:eastAsia="es-PE"/>
    </w:rPr>
  </w:style>
  <w:style w:type="character" w:customStyle="1" w:styleId="z-FinaldelformularioCar">
    <w:name w:val="z-Final del formulario Car"/>
    <w:basedOn w:val="Fuentedeprrafopredeter"/>
    <w:link w:val="z-Finaldelformulario1"/>
    <w:uiPriority w:val="99"/>
    <w:semiHidden/>
    <w:qFormat/>
    <w:rPr>
      <w:rFonts w:ascii="Arial" w:eastAsia="Times New Roman" w:hAnsi="Arial" w:cs="Arial"/>
      <w:vanish/>
      <w:sz w:val="16"/>
      <w:szCs w:val="16"/>
      <w:lang w:eastAsia="es-PE"/>
    </w:rPr>
  </w:style>
  <w:style w:type="paragraph" w:customStyle="1" w:styleId="isselectedend">
    <w:name w:val="isselectedend"/>
    <w:basedOn w:val="Normal"/>
    <w:qFormat/>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dq2pgselectionanchorcontainer">
    <w:name w:val="pdq2pg_selectionanchorcontainer"/>
    <w:basedOn w:val="Normal"/>
    <w:qFormat/>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Encabezado">
    <w:name w:val="header"/>
    <w:basedOn w:val="Normal"/>
    <w:link w:val="EncabezadoCar"/>
    <w:uiPriority w:val="99"/>
    <w:unhideWhenUsed/>
    <w:rsid w:val="00D90E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0E0C"/>
    <w:rPr>
      <w:sz w:val="22"/>
      <w:szCs w:val="22"/>
      <w:lang w:eastAsia="en-US"/>
    </w:rPr>
  </w:style>
  <w:style w:type="paragraph" w:styleId="Piedepgina">
    <w:name w:val="footer"/>
    <w:basedOn w:val="Normal"/>
    <w:link w:val="PiedepginaCar"/>
    <w:uiPriority w:val="99"/>
    <w:unhideWhenUsed/>
    <w:rsid w:val="00D90E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0E0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703</TotalTime>
  <Pages>1</Pages>
  <Words>1471</Words>
  <Characters>8093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2026-07-21T17:42:00Z</dcterms:created>
  <dcterms:modified xsi:type="dcterms:W3CDTF">2026-07-25T01:06:00Z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eyJoZGlkIjoiMWI4YjJjZTUzNGNlYTQyODI4ZTEyNDRhODcyM2Y3ZDEifQ==</vt:lpwstr>
  </property>
  <property fmtid="{D5CDD505-2E9C-101B-9397-08002B2CF9AE}" pid="3" name="KSOProductBuildVer">
    <vt:lpwstr>2058-12.1.0.27458</vt:lpwstr>
  </property>
  <property fmtid="{D5CDD505-2E9C-101B-9397-08002B2CF9AE}" pid="4" name="ICV">
    <vt:lpwstr>6FA68966D9384444B9EC1C0A313BE7F7_12</vt:lpwstr>
  </property>
</Properties>
</file>