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r>
    </w:p>
    <w:tbl>
      <w:tblPr>
        <w:tblStyle w:val="Table1"/>
        <w:tblW w:w="1044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440"/>
        <w:tblGridChange w:id="0">
          <w:tblGrid>
            <w:gridCol w:w="10440"/>
          </w:tblGrid>
        </w:tblGridChange>
      </w:tblGrid>
      <w:tr>
        <w:trPr>
          <w:cantSplit w:val="0"/>
          <w:tblHeader w:val="0"/>
        </w:trPr>
        <w:tc>
          <w:tcPr>
            <w:shd w:fill="7b1f2c" w:val="clear"/>
            <w:tcMar>
              <w:top w:w="100.0" w:type="dxa"/>
              <w:left w:w="150.0" w:type="dxa"/>
              <w:bottom w:w="100.0" w:type="dxa"/>
              <w:right w:w="150.0" w:type="dxa"/>
            </w:tcMar>
          </w:tcPr>
          <w:p w:rsidR="00000000" w:rsidDel="00000000" w:rsidP="00000000" w:rsidRDefault="00000000" w:rsidRPr="00000000" w14:paraId="00000002">
            <w:pPr>
              <w:jc w:val="center"/>
              <w:rPr>
                <w:rFonts w:ascii="Calibri" w:cs="Calibri" w:eastAsia="Calibri" w:hAnsi="Calibri"/>
                <w:b w:val="1"/>
                <w:bCs w:val="1"/>
                <w:color w:val="ffffff"/>
                <w:sz w:val="26"/>
                <w:szCs w:val="26"/>
              </w:rPr>
            </w:pPr>
            <w:r w:rsidDel="00000000" w:rsidR="00000000" w:rsidRPr="00000000">
              <w:rPr>
                <w:rFonts w:ascii="Calibri" w:cs="Calibri" w:eastAsia="Calibri" w:hAnsi="Calibri"/>
                <w:b w:val="1"/>
                <w:bCs w:val="1"/>
                <w:color w:val="ffffff"/>
                <w:sz w:val="26"/>
                <w:szCs w:val="26"/>
                <w:rtl w:val="0"/>
              </w:rPr>
              <w:t xml:space="preserve">SESIÓN DE APRENDIZAJE N.° 2 </w:t>
            </w:r>
          </w:p>
          <w:p w:rsidR="00000000" w:rsidDel="00000000" w:rsidP="00000000" w:rsidRDefault="00000000" w:rsidRPr="00000000" w14:paraId="00000003">
            <w:pPr>
              <w:jc w:val="center"/>
              <w:rPr/>
            </w:pPr>
            <w:r w:rsidDel="00000000" w:rsidR="00000000" w:rsidRPr="00000000">
              <w:rPr>
                <w:rFonts w:ascii="Calibri" w:cs="Calibri" w:eastAsia="Calibri" w:hAnsi="Calibri"/>
                <w:b w:val="1"/>
                <w:bCs w:val="1"/>
                <w:color w:val="ffffff"/>
                <w:sz w:val="26"/>
                <w:szCs w:val="26"/>
                <w:rtl w:val="0"/>
              </w:rPr>
              <w:t xml:space="preserve">ANALIZAMOS LAS ALTERNATIVAS FINANCIERAS</w:t>
            </w:r>
            <w:r w:rsidDel="00000000" w:rsidR="00000000" w:rsidRPr="00000000">
              <w:rPr>
                <w:rtl w:val="0"/>
              </w:rPr>
            </w:r>
          </w:p>
        </w:tc>
      </w:tr>
    </w:tbl>
    <w:p w:rsidR="00000000" w:rsidDel="00000000" w:rsidP="00000000" w:rsidRDefault="00000000" w:rsidRPr="00000000" w14:paraId="00000004">
      <w:pPr>
        <w:spacing w:after="100" w:lineRule="auto"/>
        <w:rPr/>
      </w:pPr>
      <w:r w:rsidDel="00000000" w:rsidR="00000000" w:rsidRPr="00000000">
        <w:rPr>
          <w:rtl w:val="0"/>
        </w:rPr>
      </w:r>
    </w:p>
    <w:tbl>
      <w:tblPr>
        <w:tblStyle w:val="Table2"/>
        <w:tblW w:w="1044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000"/>
        <w:gridCol w:w="7440"/>
        <w:tblGridChange w:id="0">
          <w:tblGrid>
            <w:gridCol w:w="3000"/>
            <w:gridCol w:w="7440"/>
          </w:tblGrid>
        </w:tblGridChange>
      </w:tblGrid>
      <w:tr>
        <w:trPr>
          <w:cantSplit w:val="0"/>
          <w:tblHeader w:val="0"/>
        </w:trPr>
        <w:tc>
          <w:tcPr>
            <w:shd w:fill="e8eef7" w:val="clear"/>
            <w:tcMar>
              <w:top w:w="80.0" w:type="dxa"/>
              <w:left w:w="100.0" w:type="dxa"/>
              <w:bottom w:w="80.0" w:type="dxa"/>
              <w:right w:w="100.0" w:type="dxa"/>
            </w:tcMar>
            <w:vAlign w:val="center"/>
          </w:tcPr>
          <w:p w:rsidR="00000000" w:rsidDel="00000000" w:rsidP="00000000" w:rsidRDefault="00000000" w:rsidRPr="00000000" w14:paraId="00000005">
            <w:pPr>
              <w:jc w:val="left"/>
              <w:rPr/>
            </w:pPr>
            <w:r w:rsidDel="00000000" w:rsidR="00000000" w:rsidRPr="00000000">
              <w:rPr>
                <w:rFonts w:ascii="Calibri" w:cs="Calibri" w:eastAsia="Calibri" w:hAnsi="Calibri"/>
                <w:b w:val="1"/>
                <w:bCs w:val="1"/>
                <w:i w:val="0"/>
                <w:iCs w:val="0"/>
                <w:color w:val="1f3b73"/>
                <w:sz w:val="20"/>
                <w:szCs w:val="20"/>
                <w:rtl w:val="0"/>
              </w:rPr>
              <w:t xml:space="preserve">Área curricular</w:t>
            </w:r>
            <w:r w:rsidDel="00000000" w:rsidR="00000000" w:rsidRPr="00000000">
              <w:rPr>
                <w:rtl w:val="0"/>
              </w:rPr>
            </w:r>
          </w:p>
        </w:tc>
        <w:tc>
          <w:tcPr>
            <w:tcMar>
              <w:top w:w="80.0" w:type="dxa"/>
              <w:left w:w="100.0" w:type="dxa"/>
              <w:bottom w:w="80.0" w:type="dxa"/>
              <w:right w:w="100.0" w:type="dxa"/>
            </w:tcMar>
            <w:vAlign w:val="center"/>
          </w:tcPr>
          <w:p w:rsidR="00000000" w:rsidDel="00000000" w:rsidP="00000000" w:rsidRDefault="00000000" w:rsidRPr="00000000" w14:paraId="00000006">
            <w:pPr>
              <w:jc w:val="left"/>
              <w:rPr/>
            </w:pPr>
            <w:r w:rsidDel="00000000" w:rsidR="00000000" w:rsidRPr="00000000">
              <w:rPr>
                <w:rFonts w:ascii="Calibri" w:cs="Calibri" w:eastAsia="Calibri" w:hAnsi="Calibri"/>
                <w:b w:val="0"/>
                <w:bCs w:val="0"/>
                <w:i w:val="0"/>
                <w:iCs w:val="0"/>
                <w:sz w:val="20"/>
                <w:szCs w:val="20"/>
                <w:rtl w:val="0"/>
              </w:rPr>
              <w:t xml:space="preserve">Ciencia y Tecnología</w:t>
            </w:r>
            <w:r w:rsidDel="00000000" w:rsidR="00000000" w:rsidRPr="00000000">
              <w:rPr>
                <w:rtl w:val="0"/>
              </w:rPr>
            </w:r>
          </w:p>
        </w:tc>
      </w:tr>
      <w:tr>
        <w:trPr>
          <w:cantSplit w:val="0"/>
          <w:tblHeader w:val="0"/>
        </w:trPr>
        <w:tc>
          <w:tcPr>
            <w:shd w:fill="e8eef7" w:val="clear"/>
            <w:tcMar>
              <w:top w:w="80.0" w:type="dxa"/>
              <w:left w:w="100.0" w:type="dxa"/>
              <w:bottom w:w="80.0" w:type="dxa"/>
              <w:right w:w="100.0" w:type="dxa"/>
            </w:tcMar>
            <w:vAlign w:val="center"/>
          </w:tcPr>
          <w:p w:rsidR="00000000" w:rsidDel="00000000" w:rsidP="00000000" w:rsidRDefault="00000000" w:rsidRPr="00000000" w14:paraId="00000007">
            <w:pPr>
              <w:jc w:val="left"/>
              <w:rPr/>
            </w:pPr>
            <w:r w:rsidDel="00000000" w:rsidR="00000000" w:rsidRPr="00000000">
              <w:rPr>
                <w:rFonts w:ascii="Calibri" w:cs="Calibri" w:eastAsia="Calibri" w:hAnsi="Calibri"/>
                <w:b w:val="1"/>
                <w:bCs w:val="1"/>
                <w:i w:val="0"/>
                <w:iCs w:val="0"/>
                <w:color w:val="1f3b73"/>
                <w:sz w:val="20"/>
                <w:szCs w:val="20"/>
                <w:rtl w:val="0"/>
              </w:rPr>
              <w:t xml:space="preserve">Grado y sección</w:t>
            </w:r>
            <w:r w:rsidDel="00000000" w:rsidR="00000000" w:rsidRPr="00000000">
              <w:rPr>
                <w:rtl w:val="0"/>
              </w:rPr>
            </w:r>
          </w:p>
        </w:tc>
        <w:tc>
          <w:tcPr>
            <w:tcMar>
              <w:top w:w="80.0" w:type="dxa"/>
              <w:left w:w="100.0" w:type="dxa"/>
              <w:bottom w:w="80.0" w:type="dxa"/>
              <w:right w:w="100.0" w:type="dxa"/>
            </w:tcMar>
            <w:vAlign w:val="center"/>
          </w:tcPr>
          <w:p w:rsidR="00000000" w:rsidDel="00000000" w:rsidP="00000000" w:rsidRDefault="00000000" w:rsidRPr="00000000" w14:paraId="00000008">
            <w:pPr>
              <w:jc w:val="left"/>
              <w:rPr/>
            </w:pPr>
            <w:r w:rsidDel="00000000" w:rsidR="00000000" w:rsidRPr="00000000">
              <w:rPr>
                <w:rFonts w:ascii="Calibri" w:cs="Calibri" w:eastAsia="Calibri" w:hAnsi="Calibri"/>
                <w:b w:val="0"/>
                <w:bCs w:val="0"/>
                <w:i w:val="0"/>
                <w:iCs w:val="0"/>
                <w:sz w:val="20"/>
                <w:szCs w:val="20"/>
                <w:rtl w:val="0"/>
              </w:rPr>
              <w:t xml:space="preserve">4°B</w:t>
            </w:r>
            <w:r w:rsidDel="00000000" w:rsidR="00000000" w:rsidRPr="00000000">
              <w:rPr>
                <w:rtl w:val="0"/>
              </w:rPr>
            </w:r>
          </w:p>
        </w:tc>
      </w:tr>
      <w:tr>
        <w:trPr>
          <w:cantSplit w:val="0"/>
          <w:tblHeader w:val="0"/>
        </w:trPr>
        <w:tc>
          <w:tcPr>
            <w:shd w:fill="e8eef7" w:val="clear"/>
            <w:tcMar>
              <w:top w:w="80.0" w:type="dxa"/>
              <w:left w:w="100.0" w:type="dxa"/>
              <w:bottom w:w="80.0" w:type="dxa"/>
              <w:right w:w="100.0" w:type="dxa"/>
            </w:tcMar>
            <w:vAlign w:val="center"/>
          </w:tcPr>
          <w:p w:rsidR="00000000" w:rsidDel="00000000" w:rsidP="00000000" w:rsidRDefault="00000000" w:rsidRPr="00000000" w14:paraId="00000009">
            <w:pPr>
              <w:jc w:val="left"/>
              <w:rPr/>
            </w:pPr>
            <w:r w:rsidDel="00000000" w:rsidR="00000000" w:rsidRPr="00000000">
              <w:rPr>
                <w:rFonts w:ascii="Calibri" w:cs="Calibri" w:eastAsia="Calibri" w:hAnsi="Calibri"/>
                <w:b w:val="1"/>
                <w:bCs w:val="1"/>
                <w:i w:val="0"/>
                <w:iCs w:val="0"/>
                <w:color w:val="1f3b73"/>
                <w:sz w:val="20"/>
                <w:szCs w:val="20"/>
                <w:rtl w:val="0"/>
              </w:rPr>
              <w:t xml:space="preserve">Duración</w:t>
            </w:r>
            <w:r w:rsidDel="00000000" w:rsidR="00000000" w:rsidRPr="00000000">
              <w:rPr>
                <w:rtl w:val="0"/>
              </w:rPr>
            </w:r>
          </w:p>
        </w:tc>
        <w:tc>
          <w:tcPr>
            <w:tcMar>
              <w:top w:w="80.0" w:type="dxa"/>
              <w:left w:w="100.0" w:type="dxa"/>
              <w:bottom w:w="80.0" w:type="dxa"/>
              <w:right w:w="100.0" w:type="dxa"/>
            </w:tcMar>
            <w:vAlign w:val="center"/>
          </w:tcPr>
          <w:p w:rsidR="00000000" w:rsidDel="00000000" w:rsidP="00000000" w:rsidRDefault="00000000" w:rsidRPr="00000000" w14:paraId="0000000A">
            <w:pPr>
              <w:jc w:val="left"/>
              <w:rPr/>
            </w:pPr>
            <w:r w:rsidDel="00000000" w:rsidR="00000000" w:rsidRPr="00000000">
              <w:rPr>
                <w:rFonts w:ascii="Calibri" w:cs="Calibri" w:eastAsia="Calibri" w:hAnsi="Calibri"/>
                <w:b w:val="0"/>
                <w:bCs w:val="0"/>
                <w:i w:val="0"/>
                <w:iCs w:val="0"/>
                <w:sz w:val="20"/>
                <w:szCs w:val="20"/>
                <w:rtl w:val="0"/>
              </w:rPr>
              <w:t xml:space="preserve">90 minutos (2 horas pedagógicas)</w:t>
            </w:r>
            <w:r w:rsidDel="00000000" w:rsidR="00000000" w:rsidRPr="00000000">
              <w:rPr>
                <w:rtl w:val="0"/>
              </w:rPr>
            </w:r>
          </w:p>
        </w:tc>
      </w:tr>
      <w:tr>
        <w:trPr>
          <w:cantSplit w:val="0"/>
          <w:tblHeader w:val="0"/>
        </w:trPr>
        <w:tc>
          <w:tcPr>
            <w:shd w:fill="e8eef7" w:val="clear"/>
            <w:tcMar>
              <w:top w:w="80.0" w:type="dxa"/>
              <w:left w:w="100.0" w:type="dxa"/>
              <w:bottom w:w="80.0" w:type="dxa"/>
              <w:right w:w="100.0" w:type="dxa"/>
            </w:tcMar>
            <w:vAlign w:val="center"/>
          </w:tcPr>
          <w:p w:rsidR="00000000" w:rsidDel="00000000" w:rsidP="00000000" w:rsidRDefault="00000000" w:rsidRPr="00000000" w14:paraId="0000000B">
            <w:pPr>
              <w:jc w:val="left"/>
              <w:rPr/>
            </w:pPr>
            <w:r w:rsidDel="00000000" w:rsidR="00000000" w:rsidRPr="00000000">
              <w:rPr>
                <w:rFonts w:ascii="Calibri" w:cs="Calibri" w:eastAsia="Calibri" w:hAnsi="Calibri"/>
                <w:b w:val="1"/>
                <w:bCs w:val="1"/>
                <w:i w:val="0"/>
                <w:iCs w:val="0"/>
                <w:color w:val="1f3b73"/>
                <w:sz w:val="20"/>
                <w:szCs w:val="20"/>
                <w:rtl w:val="0"/>
              </w:rPr>
              <w:t xml:space="preserve">Línea temática / Caso</w:t>
            </w:r>
            <w:r w:rsidDel="00000000" w:rsidR="00000000" w:rsidRPr="00000000">
              <w:rPr>
                <w:rtl w:val="0"/>
              </w:rPr>
            </w:r>
          </w:p>
        </w:tc>
        <w:tc>
          <w:tcPr>
            <w:tcMar>
              <w:top w:w="80.0" w:type="dxa"/>
              <w:left w:w="100.0" w:type="dxa"/>
              <w:bottom w:w="80.0" w:type="dxa"/>
              <w:right w:w="100.0" w:type="dxa"/>
            </w:tcMar>
            <w:vAlign w:val="center"/>
          </w:tcPr>
          <w:p w:rsidR="00000000" w:rsidDel="00000000" w:rsidP="00000000" w:rsidRDefault="00000000" w:rsidRPr="00000000" w14:paraId="0000000C">
            <w:pPr>
              <w:jc w:val="left"/>
              <w:rPr/>
            </w:pPr>
            <w:r w:rsidDel="00000000" w:rsidR="00000000" w:rsidRPr="00000000">
              <w:rPr>
                <w:rFonts w:ascii="Calibri" w:cs="Calibri" w:eastAsia="Calibri" w:hAnsi="Calibri"/>
                <w:b w:val="0"/>
                <w:bCs w:val="0"/>
                <w:i w:val="0"/>
                <w:iCs w:val="0"/>
                <w:sz w:val="20"/>
                <w:szCs w:val="20"/>
                <w:rtl w:val="0"/>
              </w:rPr>
              <w:t xml:space="preserve">Línea temática 1: Ahorro e Inversión — "La campaña de decoración navideña"</w:t>
            </w:r>
            <w:r w:rsidDel="00000000" w:rsidR="00000000" w:rsidRPr="00000000">
              <w:rPr>
                <w:rtl w:val="0"/>
              </w:rPr>
            </w:r>
          </w:p>
        </w:tc>
      </w:tr>
      <w:tr>
        <w:trPr>
          <w:cantSplit w:val="0"/>
          <w:tblHeader w:val="0"/>
        </w:trPr>
        <w:tc>
          <w:tcPr>
            <w:shd w:fill="e8eef7" w:val="clear"/>
            <w:tcMar>
              <w:top w:w="80.0" w:type="dxa"/>
              <w:left w:w="100.0" w:type="dxa"/>
              <w:bottom w:w="80.0" w:type="dxa"/>
              <w:right w:w="100.0" w:type="dxa"/>
            </w:tcMar>
            <w:vAlign w:val="center"/>
          </w:tcPr>
          <w:p w:rsidR="00000000" w:rsidDel="00000000" w:rsidP="00000000" w:rsidRDefault="00000000" w:rsidRPr="00000000" w14:paraId="0000000D">
            <w:pPr>
              <w:jc w:val="left"/>
              <w:rPr/>
            </w:pPr>
            <w:r w:rsidDel="00000000" w:rsidR="00000000" w:rsidRPr="00000000">
              <w:rPr>
                <w:rFonts w:ascii="Calibri" w:cs="Calibri" w:eastAsia="Calibri" w:hAnsi="Calibri"/>
                <w:b w:val="1"/>
                <w:bCs w:val="1"/>
                <w:i w:val="0"/>
                <w:iCs w:val="0"/>
                <w:color w:val="1f3b73"/>
                <w:sz w:val="20"/>
                <w:szCs w:val="20"/>
                <w:rtl w:val="0"/>
              </w:rPr>
              <w:t xml:space="preserve">Momento(s) del concurso</w:t>
            </w:r>
            <w:r w:rsidDel="00000000" w:rsidR="00000000" w:rsidRPr="00000000">
              <w:rPr>
                <w:rtl w:val="0"/>
              </w:rPr>
            </w:r>
          </w:p>
        </w:tc>
        <w:tc>
          <w:tcPr>
            <w:tcMar>
              <w:top w:w="80.0" w:type="dxa"/>
              <w:left w:w="100.0" w:type="dxa"/>
              <w:bottom w:w="80.0" w:type="dxa"/>
              <w:right w:w="100.0" w:type="dxa"/>
            </w:tcMar>
            <w:vAlign w:val="center"/>
          </w:tcPr>
          <w:p w:rsidR="00000000" w:rsidDel="00000000" w:rsidP="00000000" w:rsidRDefault="00000000" w:rsidRPr="00000000" w14:paraId="0000000E">
            <w:pPr>
              <w:jc w:val="left"/>
              <w:rPr/>
            </w:pPr>
            <w:r w:rsidDel="00000000" w:rsidR="00000000" w:rsidRPr="00000000">
              <w:rPr>
                <w:rFonts w:ascii="Calibri" w:cs="Calibri" w:eastAsia="Calibri" w:hAnsi="Calibri"/>
                <w:b w:val="0"/>
                <w:bCs w:val="0"/>
                <w:i w:val="0"/>
                <w:iCs w:val="0"/>
                <w:sz w:val="20"/>
                <w:szCs w:val="20"/>
                <w:rtl w:val="0"/>
              </w:rPr>
              <w:t xml:space="preserve">C) Analiza las alternativas</w:t>
            </w:r>
            <w:r w:rsidDel="00000000" w:rsidR="00000000" w:rsidRPr="00000000">
              <w:rPr>
                <w:rtl w:val="0"/>
              </w:rPr>
            </w:r>
          </w:p>
        </w:tc>
      </w:tr>
    </w:tbl>
    <w:p w:rsidR="00000000" w:rsidDel="00000000" w:rsidP="00000000" w:rsidRDefault="00000000" w:rsidRPr="00000000" w14:paraId="0000000F">
      <w:pPr>
        <w:spacing w:after="160" w:lineRule="auto"/>
        <w:rPr/>
      </w:pPr>
      <w:r w:rsidDel="00000000" w:rsidR="00000000" w:rsidRPr="00000000">
        <w:rPr>
          <w:rtl w:val="0"/>
        </w:rPr>
      </w:r>
    </w:p>
    <w:p w:rsidR="00000000" w:rsidDel="00000000" w:rsidP="00000000" w:rsidRDefault="00000000" w:rsidRPr="00000000" w14:paraId="00000010">
      <w:pPr>
        <w:spacing w:after="120" w:before="200" w:lineRule="auto"/>
        <w:rPr/>
      </w:pPr>
      <w:r w:rsidDel="00000000" w:rsidR="00000000" w:rsidRPr="00000000">
        <w:rPr>
          <w:rFonts w:ascii="Calibri" w:cs="Calibri" w:eastAsia="Calibri" w:hAnsi="Calibri"/>
          <w:b w:val="1"/>
          <w:bCs w:val="1"/>
          <w:color w:val="1f3b73"/>
          <w:sz w:val="23"/>
          <w:szCs w:val="23"/>
          <w:rtl w:val="0"/>
        </w:rPr>
        <w:t xml:space="preserve">Propósito de aprendizaje</w:t>
      </w:r>
      <w:r w:rsidDel="00000000" w:rsidR="00000000" w:rsidRPr="00000000">
        <w:rPr>
          <w:rtl w:val="0"/>
        </w:rPr>
      </w:r>
    </w:p>
    <w:tbl>
      <w:tblPr>
        <w:tblStyle w:val="Table3"/>
        <w:tblW w:w="1044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000"/>
        <w:gridCol w:w="7440"/>
        <w:tblGridChange w:id="0">
          <w:tblGrid>
            <w:gridCol w:w="3000"/>
            <w:gridCol w:w="7440"/>
          </w:tblGrid>
        </w:tblGridChange>
      </w:tblGrid>
      <w:tr>
        <w:trPr>
          <w:cantSplit w:val="0"/>
          <w:tblHeader w:val="0"/>
        </w:trPr>
        <w:tc>
          <w:tcPr>
            <w:shd w:fill="e8eef7" w:val="clear"/>
            <w:tcMar>
              <w:top w:w="80.0" w:type="dxa"/>
              <w:left w:w="100.0" w:type="dxa"/>
              <w:bottom w:w="80.0" w:type="dxa"/>
              <w:right w:w="100.0" w:type="dxa"/>
            </w:tcMar>
            <w:vAlign w:val="center"/>
          </w:tcPr>
          <w:p w:rsidR="00000000" w:rsidDel="00000000" w:rsidP="00000000" w:rsidRDefault="00000000" w:rsidRPr="00000000" w14:paraId="00000011">
            <w:pPr>
              <w:jc w:val="left"/>
              <w:rPr/>
            </w:pPr>
            <w:r w:rsidDel="00000000" w:rsidR="00000000" w:rsidRPr="00000000">
              <w:rPr>
                <w:rFonts w:ascii="Calibri" w:cs="Calibri" w:eastAsia="Calibri" w:hAnsi="Calibri"/>
                <w:b w:val="1"/>
                <w:bCs w:val="1"/>
                <w:i w:val="0"/>
                <w:iCs w:val="0"/>
                <w:color w:val="1f3b73"/>
                <w:sz w:val="20"/>
                <w:szCs w:val="20"/>
                <w:rtl w:val="0"/>
              </w:rPr>
              <w:t xml:space="preserve">Competencia</w:t>
            </w:r>
            <w:r w:rsidDel="00000000" w:rsidR="00000000" w:rsidRPr="00000000">
              <w:rPr>
                <w:rtl w:val="0"/>
              </w:rPr>
            </w:r>
          </w:p>
        </w:tc>
        <w:tc>
          <w:tcPr>
            <w:tcMar>
              <w:top w:w="80.0" w:type="dxa"/>
              <w:left w:w="100.0" w:type="dxa"/>
              <w:bottom w:w="80.0" w:type="dxa"/>
              <w:right w:w="100.0" w:type="dxa"/>
            </w:tcMar>
            <w:vAlign w:val="center"/>
          </w:tcPr>
          <w:p w:rsidR="00000000" w:rsidDel="00000000" w:rsidP="00000000" w:rsidRDefault="00000000" w:rsidRPr="00000000" w14:paraId="00000012">
            <w:pPr>
              <w:jc w:val="left"/>
              <w:rPr/>
            </w:pPr>
            <w:r w:rsidDel="00000000" w:rsidR="00000000" w:rsidRPr="00000000">
              <w:rPr>
                <w:rFonts w:ascii="Calibri" w:cs="Calibri" w:eastAsia="Calibri" w:hAnsi="Calibri"/>
                <w:b w:val="0"/>
                <w:bCs w:val="0"/>
                <w:i w:val="0"/>
                <w:iCs w:val="0"/>
                <w:sz w:val="20"/>
                <w:szCs w:val="20"/>
                <w:rtl w:val="0"/>
              </w:rPr>
              <w:t xml:space="preserve">Gestiona responsablemente los recursos económicos (Competencia 19 — CNEB)</w:t>
            </w:r>
            <w:r w:rsidDel="00000000" w:rsidR="00000000" w:rsidRPr="00000000">
              <w:rPr>
                <w:rtl w:val="0"/>
              </w:rPr>
            </w:r>
          </w:p>
        </w:tc>
      </w:tr>
      <w:tr>
        <w:trPr>
          <w:cantSplit w:val="0"/>
          <w:tblHeader w:val="0"/>
        </w:trPr>
        <w:tc>
          <w:tcPr>
            <w:shd w:fill="e8eef7" w:val="clear"/>
            <w:tcMar>
              <w:top w:w="80.0" w:type="dxa"/>
              <w:left w:w="100.0" w:type="dxa"/>
              <w:bottom w:w="80.0" w:type="dxa"/>
              <w:right w:w="100.0" w:type="dxa"/>
            </w:tcMar>
            <w:vAlign w:val="center"/>
          </w:tcPr>
          <w:p w:rsidR="00000000" w:rsidDel="00000000" w:rsidP="00000000" w:rsidRDefault="00000000" w:rsidRPr="00000000" w14:paraId="00000013">
            <w:pPr>
              <w:jc w:val="left"/>
              <w:rPr/>
            </w:pPr>
            <w:r w:rsidDel="00000000" w:rsidR="00000000" w:rsidRPr="00000000">
              <w:rPr>
                <w:rFonts w:ascii="Calibri" w:cs="Calibri" w:eastAsia="Calibri" w:hAnsi="Calibri"/>
                <w:b w:val="1"/>
                <w:bCs w:val="1"/>
                <w:i w:val="0"/>
                <w:iCs w:val="0"/>
                <w:color w:val="1f3b73"/>
                <w:sz w:val="20"/>
                <w:szCs w:val="20"/>
                <w:rtl w:val="0"/>
              </w:rPr>
              <w:t xml:space="preserve">Capacidad(es)</w:t>
            </w:r>
            <w:r w:rsidDel="00000000" w:rsidR="00000000" w:rsidRPr="00000000">
              <w:rPr>
                <w:rtl w:val="0"/>
              </w:rPr>
            </w:r>
          </w:p>
        </w:tc>
        <w:tc>
          <w:tcPr>
            <w:tcMar>
              <w:top w:w="80.0" w:type="dxa"/>
              <w:left w:w="100.0" w:type="dxa"/>
              <w:bottom w:w="80.0" w:type="dxa"/>
              <w:right w:w="100.0" w:type="dxa"/>
            </w:tcMar>
            <w:vAlign w:val="center"/>
          </w:tcPr>
          <w:p w:rsidR="00000000" w:rsidDel="00000000" w:rsidP="00000000" w:rsidRDefault="00000000" w:rsidRPr="00000000" w14:paraId="00000014">
            <w:pPr>
              <w:jc w:val="left"/>
              <w:rPr/>
            </w:pPr>
            <w:r w:rsidDel="00000000" w:rsidR="00000000" w:rsidRPr="00000000">
              <w:rPr>
                <w:rFonts w:ascii="Calibri" w:cs="Calibri" w:eastAsia="Calibri" w:hAnsi="Calibri"/>
                <w:b w:val="0"/>
                <w:bCs w:val="0"/>
                <w:i w:val="0"/>
                <w:iCs w:val="0"/>
                <w:sz w:val="20"/>
                <w:szCs w:val="20"/>
                <w:rtl w:val="0"/>
              </w:rPr>
              <w:t xml:space="preserve">Comprende las relaciones entre los elementos del sistema económico y financiero · Toma decisiones económicas y financieras (inicio).</w:t>
            </w:r>
            <w:r w:rsidDel="00000000" w:rsidR="00000000" w:rsidRPr="00000000">
              <w:rPr>
                <w:rtl w:val="0"/>
              </w:rPr>
            </w:r>
          </w:p>
        </w:tc>
      </w:tr>
      <w:tr>
        <w:trPr>
          <w:cantSplit w:val="0"/>
          <w:tblHeader w:val="0"/>
        </w:trPr>
        <w:tc>
          <w:tcPr>
            <w:shd w:fill="e8eef7" w:val="clear"/>
            <w:tcMar>
              <w:top w:w="80.0" w:type="dxa"/>
              <w:left w:w="100.0" w:type="dxa"/>
              <w:bottom w:w="80.0" w:type="dxa"/>
              <w:right w:w="100.0" w:type="dxa"/>
            </w:tcMar>
            <w:vAlign w:val="center"/>
          </w:tcPr>
          <w:p w:rsidR="00000000" w:rsidDel="00000000" w:rsidP="00000000" w:rsidRDefault="00000000" w:rsidRPr="00000000" w14:paraId="00000015">
            <w:pPr>
              <w:jc w:val="left"/>
              <w:rPr/>
            </w:pPr>
            <w:r w:rsidDel="00000000" w:rsidR="00000000" w:rsidRPr="00000000">
              <w:rPr>
                <w:rFonts w:ascii="Calibri" w:cs="Calibri" w:eastAsia="Calibri" w:hAnsi="Calibri"/>
                <w:b w:val="1"/>
                <w:bCs w:val="1"/>
                <w:i w:val="0"/>
                <w:iCs w:val="0"/>
                <w:color w:val="1f3b73"/>
                <w:sz w:val="20"/>
                <w:szCs w:val="20"/>
                <w:rtl w:val="0"/>
              </w:rPr>
              <w:t xml:space="preserve">Desempeño precisado</w:t>
            </w:r>
            <w:r w:rsidDel="00000000" w:rsidR="00000000" w:rsidRPr="00000000">
              <w:rPr>
                <w:rtl w:val="0"/>
              </w:rPr>
            </w:r>
          </w:p>
        </w:tc>
        <w:tc>
          <w:tcPr>
            <w:tcMar>
              <w:top w:w="80.0" w:type="dxa"/>
              <w:left w:w="100.0" w:type="dxa"/>
              <w:bottom w:w="80.0" w:type="dxa"/>
              <w:right w:w="100.0" w:type="dxa"/>
            </w:tcMar>
            <w:vAlign w:val="center"/>
          </w:tcPr>
          <w:p w:rsidR="00000000" w:rsidDel="00000000" w:rsidP="00000000" w:rsidRDefault="00000000" w:rsidRPr="00000000" w14:paraId="00000016">
            <w:pPr>
              <w:jc w:val="left"/>
              <w:rPr/>
            </w:pPr>
            <w:r w:rsidDel="00000000" w:rsidR="00000000" w:rsidRPr="00000000">
              <w:rPr>
                <w:rFonts w:ascii="Calibri" w:cs="Calibri" w:eastAsia="Calibri" w:hAnsi="Calibri"/>
                <w:b w:val="0"/>
                <w:bCs w:val="0"/>
                <w:i w:val="0"/>
                <w:iCs w:val="0"/>
                <w:sz w:val="20"/>
                <w:szCs w:val="20"/>
                <w:rtl w:val="0"/>
              </w:rPr>
              <w:t xml:space="preserve">Compara las alternativas de solución frente al caso "La campaña de decoración navideña", identificando beneficios, riesgos, costos y responsabilidades de cada una a partir de los datos del caso.</w:t>
            </w:r>
            <w:r w:rsidDel="00000000" w:rsidR="00000000" w:rsidRPr="00000000">
              <w:rPr>
                <w:rtl w:val="0"/>
              </w:rPr>
            </w:r>
          </w:p>
        </w:tc>
      </w:tr>
      <w:tr>
        <w:trPr>
          <w:cantSplit w:val="0"/>
          <w:tblHeader w:val="0"/>
        </w:trPr>
        <w:tc>
          <w:tcPr>
            <w:shd w:fill="e8eef7" w:val="clear"/>
            <w:tcMar>
              <w:top w:w="80.0" w:type="dxa"/>
              <w:left w:w="100.0" w:type="dxa"/>
              <w:bottom w:w="80.0" w:type="dxa"/>
              <w:right w:w="100.0" w:type="dxa"/>
            </w:tcMar>
            <w:vAlign w:val="center"/>
          </w:tcPr>
          <w:p w:rsidR="00000000" w:rsidDel="00000000" w:rsidP="00000000" w:rsidRDefault="00000000" w:rsidRPr="00000000" w14:paraId="00000017">
            <w:pPr>
              <w:jc w:val="left"/>
              <w:rPr/>
            </w:pPr>
            <w:r w:rsidDel="00000000" w:rsidR="00000000" w:rsidRPr="00000000">
              <w:rPr>
                <w:rFonts w:ascii="Calibri" w:cs="Calibri" w:eastAsia="Calibri" w:hAnsi="Calibri"/>
                <w:b w:val="1"/>
                <w:bCs w:val="1"/>
                <w:i w:val="0"/>
                <w:iCs w:val="0"/>
                <w:color w:val="1f3b73"/>
                <w:sz w:val="20"/>
                <w:szCs w:val="20"/>
                <w:rtl w:val="0"/>
              </w:rPr>
              <w:t xml:space="preserve">Evidencia de aprendizaje</w:t>
            </w:r>
            <w:r w:rsidDel="00000000" w:rsidR="00000000" w:rsidRPr="00000000">
              <w:rPr>
                <w:rtl w:val="0"/>
              </w:rPr>
            </w:r>
          </w:p>
        </w:tc>
        <w:tc>
          <w:tcPr>
            <w:tcMar>
              <w:top w:w="80.0" w:type="dxa"/>
              <w:left w:w="100.0" w:type="dxa"/>
              <w:bottom w:w="80.0" w:type="dxa"/>
              <w:right w:w="100.0" w:type="dxa"/>
            </w:tcMar>
            <w:vAlign w:val="center"/>
          </w:tcPr>
          <w:p w:rsidR="00000000" w:rsidDel="00000000" w:rsidP="00000000" w:rsidRDefault="00000000" w:rsidRPr="00000000" w14:paraId="00000018">
            <w:pPr>
              <w:jc w:val="left"/>
              <w:rPr/>
            </w:pPr>
            <w:r w:rsidDel="00000000" w:rsidR="00000000" w:rsidRPr="00000000">
              <w:rPr>
                <w:rFonts w:ascii="Calibri" w:cs="Calibri" w:eastAsia="Calibri" w:hAnsi="Calibri"/>
                <w:b w:val="0"/>
                <w:bCs w:val="0"/>
                <w:i w:val="0"/>
                <w:iCs w:val="0"/>
                <w:sz w:val="20"/>
                <w:szCs w:val="20"/>
                <w:rtl w:val="0"/>
              </w:rPr>
              <w:t xml:space="preserve">Ficha de reflexión N.° 2: cuadro comparativo de alternativas registrado en la bitácora del concurso.</w:t>
            </w:r>
            <w:r w:rsidDel="00000000" w:rsidR="00000000" w:rsidRPr="00000000">
              <w:rPr>
                <w:rtl w:val="0"/>
              </w:rPr>
            </w:r>
          </w:p>
        </w:tc>
      </w:tr>
    </w:tbl>
    <w:p w:rsidR="00000000" w:rsidDel="00000000" w:rsidP="00000000" w:rsidRDefault="00000000" w:rsidRPr="00000000" w14:paraId="00000019">
      <w:pPr>
        <w:spacing w:after="160" w:lineRule="auto"/>
        <w:rPr/>
      </w:pPr>
      <w:r w:rsidDel="00000000" w:rsidR="00000000" w:rsidRPr="00000000">
        <w:rPr>
          <w:rtl w:val="0"/>
        </w:rPr>
      </w:r>
    </w:p>
    <w:p w:rsidR="00000000" w:rsidDel="00000000" w:rsidP="00000000" w:rsidRDefault="00000000" w:rsidRPr="00000000" w14:paraId="0000001A">
      <w:pPr>
        <w:spacing w:after="120" w:before="200" w:lineRule="auto"/>
        <w:rPr/>
      </w:pPr>
      <w:r w:rsidDel="00000000" w:rsidR="00000000" w:rsidRPr="00000000">
        <w:rPr>
          <w:rFonts w:ascii="Calibri" w:cs="Calibri" w:eastAsia="Calibri" w:hAnsi="Calibri"/>
          <w:b w:val="1"/>
          <w:bCs w:val="1"/>
          <w:color w:val="1f3b73"/>
          <w:sz w:val="23"/>
          <w:szCs w:val="23"/>
          <w:rtl w:val="0"/>
        </w:rPr>
        <w:t xml:space="preserve">Secuencia didáctica</w:t>
      </w:r>
      <w:r w:rsidDel="00000000" w:rsidR="00000000" w:rsidRPr="00000000">
        <w:rPr>
          <w:rtl w:val="0"/>
        </w:rPr>
      </w:r>
    </w:p>
    <w:tbl>
      <w:tblPr>
        <w:tblStyle w:val="Table4"/>
        <w:tblW w:w="1044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800"/>
        <w:gridCol w:w="8640"/>
        <w:tblGridChange w:id="0">
          <w:tblGrid>
            <w:gridCol w:w="1800"/>
            <w:gridCol w:w="8640"/>
          </w:tblGrid>
        </w:tblGridChange>
      </w:tblGrid>
      <w:tr>
        <w:trPr>
          <w:cantSplit w:val="0"/>
          <w:tblHeader w:val="1"/>
        </w:trPr>
        <w:tc>
          <w:tcPr>
            <w:shd w:fill="7b1f2c" w:val="clear"/>
            <w:tcMar>
              <w:top w:w="80.0" w:type="dxa"/>
              <w:left w:w="100.0" w:type="dxa"/>
              <w:bottom w:w="80.0" w:type="dxa"/>
              <w:right w:w="100.0" w:type="dxa"/>
            </w:tcMar>
            <w:vAlign w:val="center"/>
          </w:tcPr>
          <w:p w:rsidR="00000000" w:rsidDel="00000000" w:rsidP="00000000" w:rsidRDefault="00000000" w:rsidRPr="00000000" w14:paraId="0000001B">
            <w:pPr>
              <w:jc w:val="center"/>
              <w:rPr/>
            </w:pPr>
            <w:r w:rsidDel="00000000" w:rsidR="00000000" w:rsidRPr="00000000">
              <w:rPr>
                <w:rFonts w:ascii="Calibri" w:cs="Calibri" w:eastAsia="Calibri" w:hAnsi="Calibri"/>
                <w:b w:val="1"/>
                <w:bCs w:val="1"/>
                <w:i w:val="0"/>
                <w:iCs w:val="0"/>
                <w:color w:val="ffffff"/>
                <w:sz w:val="20"/>
                <w:szCs w:val="20"/>
                <w:rtl w:val="0"/>
              </w:rPr>
              <w:t xml:space="preserve">Momento / Tiempo</w:t>
            </w:r>
            <w:r w:rsidDel="00000000" w:rsidR="00000000" w:rsidRPr="00000000">
              <w:rPr>
                <w:rtl w:val="0"/>
              </w:rPr>
            </w:r>
          </w:p>
        </w:tc>
        <w:tc>
          <w:tcPr>
            <w:shd w:fill="7b1f2c" w:val="clear"/>
            <w:tcMar>
              <w:top w:w="80.0" w:type="dxa"/>
              <w:left w:w="100.0" w:type="dxa"/>
              <w:bottom w:w="80.0" w:type="dxa"/>
              <w:right w:w="100.0" w:type="dxa"/>
            </w:tcMar>
            <w:vAlign w:val="center"/>
          </w:tcPr>
          <w:p w:rsidR="00000000" w:rsidDel="00000000" w:rsidP="00000000" w:rsidRDefault="00000000" w:rsidRPr="00000000" w14:paraId="0000001C">
            <w:pPr>
              <w:jc w:val="center"/>
              <w:rPr/>
            </w:pPr>
            <w:r w:rsidDel="00000000" w:rsidR="00000000" w:rsidRPr="00000000">
              <w:rPr>
                <w:rFonts w:ascii="Calibri" w:cs="Calibri" w:eastAsia="Calibri" w:hAnsi="Calibri"/>
                <w:b w:val="1"/>
                <w:bCs w:val="1"/>
                <w:i w:val="0"/>
                <w:iCs w:val="0"/>
                <w:color w:val="ffffff"/>
                <w:sz w:val="20"/>
                <w:szCs w:val="20"/>
                <w:rtl w:val="0"/>
              </w:rPr>
              <w:t xml:space="preserve">Actividades</w:t>
            </w:r>
            <w:r w:rsidDel="00000000" w:rsidR="00000000" w:rsidRPr="00000000">
              <w:rPr>
                <w:rtl w:val="0"/>
              </w:rPr>
            </w:r>
          </w:p>
        </w:tc>
      </w:tr>
      <w:tr>
        <w:trPr>
          <w:cantSplit w:val="0"/>
          <w:tblHeader w:val="0"/>
        </w:trPr>
        <w:tc>
          <w:tcPr>
            <w:shd w:fill="e8eef7" w:val="clear"/>
            <w:tcMar>
              <w:top w:w="80.0" w:type="dxa"/>
              <w:left w:w="100.0" w:type="dxa"/>
              <w:bottom w:w="80.0" w:type="dxa"/>
              <w:right w:w="100.0" w:type="dxa"/>
            </w:tcMar>
            <w:vAlign w:val="center"/>
          </w:tcPr>
          <w:p w:rsidR="00000000" w:rsidDel="00000000" w:rsidP="00000000" w:rsidRDefault="00000000" w:rsidRPr="00000000" w14:paraId="0000001D">
            <w:pPr>
              <w:jc w:val="center"/>
              <w:rPr>
                <w:rFonts w:ascii="Calibri" w:cs="Calibri" w:eastAsia="Calibri" w:hAnsi="Calibri"/>
                <w:b w:val="1"/>
                <w:bCs w:val="1"/>
                <w:i w:val="0"/>
                <w:iCs w:val="0"/>
                <w:color w:val="1f3b73"/>
                <w:sz w:val="20"/>
                <w:szCs w:val="20"/>
              </w:rPr>
            </w:pPr>
            <w:r w:rsidDel="00000000" w:rsidR="00000000" w:rsidRPr="00000000">
              <w:rPr>
                <w:rFonts w:ascii="Calibri" w:cs="Calibri" w:eastAsia="Calibri" w:hAnsi="Calibri"/>
                <w:b w:val="1"/>
                <w:bCs w:val="1"/>
                <w:i w:val="0"/>
                <w:iCs w:val="0"/>
                <w:color w:val="1f3b73"/>
                <w:sz w:val="20"/>
                <w:szCs w:val="20"/>
                <w:rtl w:val="0"/>
              </w:rPr>
              <w:t xml:space="preserve">INICIO</w:t>
            </w:r>
          </w:p>
          <w:p w:rsidR="00000000" w:rsidDel="00000000" w:rsidP="00000000" w:rsidRDefault="00000000" w:rsidRPr="00000000" w14:paraId="0000001E">
            <w:pPr>
              <w:jc w:val="center"/>
              <w:rPr/>
            </w:pPr>
            <w:r w:rsidDel="00000000" w:rsidR="00000000" w:rsidRPr="00000000">
              <w:rPr>
                <w:rFonts w:ascii="Calibri" w:cs="Calibri" w:eastAsia="Calibri" w:hAnsi="Calibri"/>
                <w:b w:val="1"/>
                <w:bCs w:val="1"/>
                <w:i w:val="0"/>
                <w:iCs w:val="0"/>
                <w:color w:val="1f3b73"/>
                <w:sz w:val="20"/>
                <w:szCs w:val="20"/>
                <w:rtl w:val="0"/>
              </w:rPr>
              <w:t xml:space="preserve">(15 min)</w:t>
            </w:r>
            <w:r w:rsidDel="00000000" w:rsidR="00000000" w:rsidRPr="00000000">
              <w:rPr>
                <w:rtl w:val="0"/>
              </w:rPr>
            </w:r>
          </w:p>
        </w:tc>
        <w:tc>
          <w:tcPr>
            <w:tcMar>
              <w:top w:w="80.0" w:type="dxa"/>
              <w:left w:w="100.0" w:type="dxa"/>
              <w:bottom w:w="80.0" w:type="dxa"/>
              <w:right w:w="100.0" w:type="dxa"/>
            </w:tcMar>
            <w:vAlign w:val="center"/>
          </w:tcPr>
          <w:p w:rsidR="00000000" w:rsidDel="00000000" w:rsidP="00000000" w:rsidRDefault="00000000" w:rsidRPr="00000000" w14:paraId="0000001F">
            <w:pPr>
              <w:spacing w:after="60" w:lineRule="auto"/>
              <w:ind w:left="283.46456692913375" w:hanging="283.46456692913375"/>
              <w:jc w:val="both"/>
              <w:rPr/>
            </w:pPr>
            <w:r w:rsidDel="00000000" w:rsidR="00000000" w:rsidRPr="00000000">
              <w:rPr>
                <w:sz w:val="20"/>
                <w:szCs w:val="20"/>
                <w:rtl w:val="0"/>
              </w:rPr>
              <w:t xml:space="preserve">•     Recojo de saberes previos: se retoma lo trabajado en la sesión 1 (organizador del caso).</w:t>
            </w:r>
            <w:r w:rsidDel="00000000" w:rsidR="00000000" w:rsidRPr="00000000">
              <w:rPr>
                <w:rtl w:val="0"/>
              </w:rPr>
            </w:r>
          </w:p>
          <w:p w:rsidR="00000000" w:rsidDel="00000000" w:rsidP="00000000" w:rsidRDefault="00000000" w:rsidRPr="00000000" w14:paraId="00000020">
            <w:pPr>
              <w:keepNext w:val="0"/>
              <w:keepLines w:val="0"/>
              <w:widowControl w:val="1"/>
              <w:pBdr>
                <w:top w:space="0" w:sz="0" w:val="nil"/>
                <w:left w:space="0" w:sz="0" w:val="nil"/>
                <w:bottom w:space="0" w:sz="0" w:val="nil"/>
                <w:right w:space="0" w:sz="0" w:val="nil"/>
                <w:between w:space="0" w:sz="0" w:val="nil"/>
              </w:pBdr>
              <w:shd w:fill="auto" w:val="clear"/>
              <w:spacing w:after="60" w:before="0" w:line="240" w:lineRule="auto"/>
              <w:ind w:left="283.46456692913375" w:right="0" w:hanging="283.46456692913375"/>
              <w:jc w:val="both"/>
              <w:rPr/>
            </w:pPr>
            <w:r w:rsidDel="00000000" w:rsidR="00000000" w:rsidRPr="00000000">
              <w:rPr>
                <w:sz w:val="20"/>
                <w:szCs w:val="20"/>
                <w:rtl w:val="0"/>
              </w:rPr>
              <w:t xml:space="preserve">•   </w:t>
            </w:r>
            <w:r w:rsidDel="00000000" w:rsidR="00000000" w:rsidRPr="00000000">
              <w:rPr>
                <w:rtl w:val="0"/>
              </w:rPr>
              <w:t xml:space="preserve">Activa tu pensamiento: votación rápida — "¿qué alternativa creen que le conviene más a Mariela, antes de analizarla con datos?" (se registra para contrastar al final).</w:t>
            </w:r>
          </w:p>
          <w:p w:rsidR="00000000" w:rsidDel="00000000" w:rsidP="00000000" w:rsidRDefault="00000000" w:rsidRPr="00000000" w14:paraId="00000021">
            <w:pPr>
              <w:keepNext w:val="0"/>
              <w:keepLines w:val="0"/>
              <w:widowControl w:val="1"/>
              <w:pBdr>
                <w:top w:space="0" w:sz="0" w:val="nil"/>
                <w:left w:space="0" w:sz="0" w:val="nil"/>
                <w:bottom w:space="0" w:sz="0" w:val="nil"/>
                <w:right w:space="0" w:sz="0" w:val="nil"/>
                <w:between w:space="0" w:sz="0" w:val="nil"/>
              </w:pBdr>
              <w:shd w:fill="auto" w:val="clear"/>
              <w:spacing w:after="60" w:before="0" w:line="240" w:lineRule="auto"/>
              <w:ind w:left="283.46456692913375" w:right="0" w:hanging="283.46456692913375"/>
              <w:jc w:val="both"/>
              <w:rPr/>
            </w:pPr>
            <w:r w:rsidDel="00000000" w:rsidR="00000000" w:rsidRPr="00000000">
              <w:rPr>
                <w:rtl w:val="0"/>
              </w:rPr>
              <w:t xml:space="preserve">•    Se  presen</w:t>
            </w:r>
            <w:r w:rsidDel="00000000" w:rsidR="00000000" w:rsidRPr="00000000">
              <w:rPr>
                <w:sz w:val="20"/>
                <w:szCs w:val="20"/>
                <w:rtl w:val="0"/>
              </w:rPr>
              <w:t xml:space="preserve">ta  el  propósito:   hoy   comparamos   alternativas   con    criterios  financieros, no </w:t>
            </w:r>
            <w:r w:rsidDel="00000000" w:rsidR="00000000" w:rsidRPr="00000000">
              <w:rPr>
                <w:rtl w:val="0"/>
              </w:rPr>
              <w:t xml:space="preserve">sólo</w:t>
            </w:r>
            <w:r w:rsidDel="00000000" w:rsidR="00000000" w:rsidRPr="00000000">
              <w:rPr>
                <w:sz w:val="20"/>
                <w:szCs w:val="20"/>
                <w:rtl w:val="0"/>
              </w:rPr>
              <w:t xml:space="preserve"> con intuición.</w:t>
            </w:r>
            <w:r w:rsidDel="00000000" w:rsidR="00000000" w:rsidRPr="00000000">
              <w:rPr>
                <w:rtl w:val="0"/>
              </w:rPr>
            </w:r>
          </w:p>
        </w:tc>
      </w:tr>
      <w:tr>
        <w:trPr>
          <w:cantSplit w:val="0"/>
          <w:tblHeader w:val="0"/>
        </w:trPr>
        <w:tc>
          <w:tcPr>
            <w:shd w:fill="e8eef7" w:val="clear"/>
            <w:tcMar>
              <w:top w:w="80.0" w:type="dxa"/>
              <w:left w:w="100.0" w:type="dxa"/>
              <w:bottom w:w="80.0" w:type="dxa"/>
              <w:right w:w="100.0" w:type="dxa"/>
            </w:tcMar>
            <w:vAlign w:val="center"/>
          </w:tcPr>
          <w:p w:rsidR="00000000" w:rsidDel="00000000" w:rsidP="00000000" w:rsidRDefault="00000000" w:rsidRPr="00000000" w14:paraId="00000022">
            <w:pPr>
              <w:jc w:val="center"/>
              <w:rPr>
                <w:rFonts w:ascii="Calibri" w:cs="Calibri" w:eastAsia="Calibri" w:hAnsi="Calibri"/>
                <w:b w:val="1"/>
                <w:bCs w:val="1"/>
                <w:i w:val="0"/>
                <w:iCs w:val="0"/>
                <w:color w:val="1f3b73"/>
                <w:sz w:val="20"/>
                <w:szCs w:val="20"/>
              </w:rPr>
            </w:pPr>
            <w:r w:rsidDel="00000000" w:rsidR="00000000" w:rsidRPr="00000000">
              <w:rPr>
                <w:rFonts w:ascii="Calibri" w:cs="Calibri" w:eastAsia="Calibri" w:hAnsi="Calibri"/>
                <w:b w:val="1"/>
                <w:bCs w:val="1"/>
                <w:i w:val="0"/>
                <w:iCs w:val="0"/>
                <w:color w:val="1f3b73"/>
                <w:sz w:val="20"/>
                <w:szCs w:val="20"/>
                <w:rtl w:val="0"/>
              </w:rPr>
              <w:t xml:space="preserve">DESARROLLO</w:t>
            </w:r>
          </w:p>
          <w:p w:rsidR="00000000" w:rsidDel="00000000" w:rsidP="00000000" w:rsidRDefault="00000000" w:rsidRPr="00000000" w14:paraId="00000023">
            <w:pPr>
              <w:jc w:val="center"/>
              <w:rPr/>
            </w:pPr>
            <w:r w:rsidDel="00000000" w:rsidR="00000000" w:rsidRPr="00000000">
              <w:rPr>
                <w:rFonts w:ascii="Calibri" w:cs="Calibri" w:eastAsia="Calibri" w:hAnsi="Calibri"/>
                <w:b w:val="1"/>
                <w:bCs w:val="1"/>
                <w:i w:val="0"/>
                <w:iCs w:val="0"/>
                <w:color w:val="1f3b73"/>
                <w:sz w:val="20"/>
                <w:szCs w:val="20"/>
                <w:rtl w:val="0"/>
              </w:rPr>
              <w:t xml:space="preserve">(60 min)</w:t>
            </w:r>
            <w:r w:rsidDel="00000000" w:rsidR="00000000" w:rsidRPr="00000000">
              <w:rPr>
                <w:rtl w:val="0"/>
              </w:rPr>
            </w:r>
          </w:p>
        </w:tc>
        <w:tc>
          <w:tcPr>
            <w:tcMar>
              <w:top w:w="80.0" w:type="dxa"/>
              <w:left w:w="100.0" w:type="dxa"/>
              <w:bottom w:w="80.0" w:type="dxa"/>
              <w:right w:w="100.0" w:type="dxa"/>
            </w:tcMar>
            <w:vAlign w:val="center"/>
          </w:tcPr>
          <w:p w:rsidR="00000000" w:rsidDel="00000000" w:rsidP="00000000" w:rsidRDefault="00000000" w:rsidRPr="00000000" w14:paraId="00000024">
            <w:pPr>
              <w:keepNext w:val="0"/>
              <w:keepLines w:val="0"/>
              <w:widowControl w:val="1"/>
              <w:pBdr>
                <w:top w:space="0" w:sz="0" w:val="nil"/>
                <w:left w:space="0" w:sz="0" w:val="nil"/>
                <w:bottom w:space="0" w:sz="0" w:val="nil"/>
                <w:right w:space="0" w:sz="0" w:val="nil"/>
                <w:between w:space="0" w:sz="0" w:val="nil"/>
              </w:pBdr>
              <w:shd w:fill="auto" w:val="clear"/>
              <w:spacing w:after="60" w:before="0" w:line="240" w:lineRule="auto"/>
              <w:ind w:left="283.46456692913375" w:right="0" w:hanging="283.46456692913375"/>
              <w:jc w:val="both"/>
              <w:rPr/>
            </w:pPr>
            <w:r w:rsidDel="00000000" w:rsidR="00000000" w:rsidRPr="00000000">
              <w:rPr>
                <w:sz w:val="20"/>
                <w:szCs w:val="20"/>
                <w:rtl w:val="0"/>
              </w:rPr>
              <w:t xml:space="preserve">•    </w:t>
            </w:r>
            <w:r w:rsidDel="00000000" w:rsidR="00000000" w:rsidRPr="00000000">
              <w:rPr>
                <w:rtl w:val="0"/>
              </w:rPr>
              <w:t xml:space="preserve">Se presentan las alternativas del caso y se lee la Ficha informativa N.° 2 (Inversión, Ganancia, Riesgo financiero).</w:t>
            </w:r>
          </w:p>
          <w:p w:rsidR="00000000" w:rsidDel="00000000" w:rsidP="00000000" w:rsidRDefault="00000000" w:rsidRPr="00000000" w14:paraId="00000025">
            <w:pPr>
              <w:keepNext w:val="0"/>
              <w:keepLines w:val="0"/>
              <w:widowControl w:val="1"/>
              <w:pBdr>
                <w:top w:space="0" w:sz="0" w:val="nil"/>
                <w:left w:space="0" w:sz="0" w:val="nil"/>
                <w:bottom w:space="0" w:sz="0" w:val="nil"/>
                <w:right w:space="0" w:sz="0" w:val="nil"/>
                <w:between w:space="0" w:sz="0" w:val="nil"/>
              </w:pBdr>
              <w:shd w:fill="auto" w:val="clear"/>
              <w:spacing w:after="60" w:before="0" w:line="240" w:lineRule="auto"/>
              <w:ind w:left="283.46456692913375" w:right="0" w:hanging="283.46456692913375"/>
              <w:jc w:val="both"/>
              <w:rPr/>
            </w:pPr>
            <w:r w:rsidDel="00000000" w:rsidR="00000000" w:rsidRPr="00000000">
              <w:rPr>
                <w:rtl w:val="0"/>
              </w:rPr>
              <w:t xml:space="preserve">•    Momento C — Analiza las alternativas: en equipos, se completa el cuadro comparativo de la Ficha de trabajo N.° 2 (Alternativa | Beneficios | Riesgos | Costos/responsabilidades), usando los datos clave del caso.</w:t>
            </w:r>
          </w:p>
          <w:p w:rsidR="00000000" w:rsidDel="00000000" w:rsidP="00000000" w:rsidRDefault="00000000" w:rsidRPr="00000000" w14:paraId="00000026">
            <w:pPr>
              <w:keepNext w:val="0"/>
              <w:keepLines w:val="0"/>
              <w:widowControl w:val="1"/>
              <w:pBdr>
                <w:top w:space="0" w:sz="0" w:val="nil"/>
                <w:left w:space="0" w:sz="0" w:val="nil"/>
                <w:bottom w:space="0" w:sz="0" w:val="nil"/>
                <w:right w:space="0" w:sz="0" w:val="nil"/>
                <w:between w:space="0" w:sz="0" w:val="nil"/>
              </w:pBdr>
              <w:shd w:fill="auto" w:val="clear"/>
              <w:spacing w:after="60" w:before="0" w:line="240" w:lineRule="auto"/>
              <w:ind w:left="283.46456692913375" w:right="0" w:hanging="283.46456692913375"/>
              <w:jc w:val="both"/>
              <w:rPr/>
            </w:pPr>
            <w:r w:rsidDel="00000000" w:rsidR="00000000" w:rsidRPr="00000000">
              <w:rPr>
                <w:rtl w:val="0"/>
              </w:rPr>
              <w:t xml:space="preserve">•   Cálculo  aplicado:  cada   equipo proyecta numéricamente al menos dos alternativas (por ejemplo, cuánto se reuniría manteniendo el ritmo actual de ahorro vs. el resultado estimado si invierte en la campaña navideña), apoyándose en operaciones básicas.</w:t>
            </w:r>
          </w:p>
          <w:p w:rsidR="00000000" w:rsidDel="00000000" w:rsidP="00000000" w:rsidRDefault="00000000" w:rsidRPr="00000000" w14:paraId="00000027">
            <w:pPr>
              <w:keepNext w:val="0"/>
              <w:keepLines w:val="0"/>
              <w:widowControl w:val="1"/>
              <w:pBdr>
                <w:top w:space="0" w:sz="0" w:val="nil"/>
                <w:left w:space="0" w:sz="0" w:val="nil"/>
                <w:bottom w:space="0" w:sz="0" w:val="nil"/>
                <w:right w:space="0" w:sz="0" w:val="nil"/>
                <w:between w:space="0" w:sz="0" w:val="nil"/>
              </w:pBdr>
              <w:shd w:fill="auto" w:val="clear"/>
              <w:spacing w:after="60" w:before="0" w:line="240" w:lineRule="auto"/>
              <w:ind w:left="283.46456692913375" w:right="0" w:hanging="283.46456692913375"/>
              <w:jc w:val="both"/>
              <w:rPr/>
            </w:pPr>
            <w:r w:rsidDel="00000000" w:rsidR="00000000" w:rsidRPr="00000000">
              <w:rPr>
                <w:rtl w:val="0"/>
              </w:rPr>
              <w:t xml:space="preserve">•  Intercambio entre equipos ("museo"): cada equipo revisa el cuadro de otro equipo y anota una pregunta o sugerencia.</w:t>
            </w:r>
          </w:p>
          <w:p w:rsidR="00000000" w:rsidDel="00000000" w:rsidP="00000000" w:rsidRDefault="00000000" w:rsidRPr="00000000" w14:paraId="00000028">
            <w:pPr>
              <w:keepNext w:val="0"/>
              <w:keepLines w:val="0"/>
              <w:widowControl w:val="1"/>
              <w:pBdr>
                <w:top w:space="0" w:sz="0" w:val="nil"/>
                <w:left w:space="0" w:sz="0" w:val="nil"/>
                <w:bottom w:space="0" w:sz="0" w:val="nil"/>
                <w:right w:space="0" w:sz="0" w:val="nil"/>
                <w:between w:space="0" w:sz="0" w:val="nil"/>
              </w:pBdr>
              <w:shd w:fill="auto" w:val="clear"/>
              <w:spacing w:after="60" w:before="0" w:line="240" w:lineRule="auto"/>
              <w:ind w:left="283.46456692913375" w:right="0" w:hanging="283.46456692913375"/>
              <w:jc w:val="both"/>
              <w:rPr/>
            </w:pPr>
            <w:r w:rsidDel="00000000" w:rsidR="00000000" w:rsidRPr="00000000">
              <w:rPr>
                <w:rtl w:val="0"/>
              </w:rPr>
              <w:t xml:space="preserve">•    Plenari</w:t>
            </w:r>
            <w:r w:rsidDel="00000000" w:rsidR="00000000" w:rsidRPr="00000000">
              <w:rPr>
                <w:sz w:val="20"/>
                <w:szCs w:val="20"/>
                <w:rtl w:val="0"/>
              </w:rPr>
              <w:t xml:space="preserve">o breve: se argumenta con datos, no solo con opinión, cuál alternativa parece más conveniente y por qué.</w:t>
            </w:r>
            <w:r w:rsidDel="00000000" w:rsidR="00000000" w:rsidRPr="00000000">
              <w:rPr>
                <w:rtl w:val="0"/>
              </w:rPr>
            </w:r>
          </w:p>
        </w:tc>
      </w:tr>
      <w:tr>
        <w:trPr>
          <w:cantSplit w:val="0"/>
          <w:tblHeader w:val="0"/>
        </w:trPr>
        <w:tc>
          <w:tcPr>
            <w:shd w:fill="e8eef7" w:val="clear"/>
            <w:tcMar>
              <w:top w:w="80.0" w:type="dxa"/>
              <w:left w:w="100.0" w:type="dxa"/>
              <w:bottom w:w="80.0" w:type="dxa"/>
              <w:right w:w="100.0" w:type="dxa"/>
            </w:tcMar>
            <w:vAlign w:val="center"/>
          </w:tcPr>
          <w:p w:rsidR="00000000" w:rsidDel="00000000" w:rsidP="00000000" w:rsidRDefault="00000000" w:rsidRPr="00000000" w14:paraId="00000029">
            <w:pPr>
              <w:jc w:val="center"/>
              <w:rPr>
                <w:rFonts w:ascii="Calibri" w:cs="Calibri" w:eastAsia="Calibri" w:hAnsi="Calibri"/>
                <w:b w:val="1"/>
                <w:bCs w:val="1"/>
                <w:i w:val="0"/>
                <w:iCs w:val="0"/>
                <w:color w:val="1f3b73"/>
                <w:sz w:val="20"/>
                <w:szCs w:val="20"/>
              </w:rPr>
            </w:pPr>
            <w:r w:rsidDel="00000000" w:rsidR="00000000" w:rsidRPr="00000000">
              <w:rPr>
                <w:rFonts w:ascii="Calibri" w:cs="Calibri" w:eastAsia="Calibri" w:hAnsi="Calibri"/>
                <w:b w:val="1"/>
                <w:bCs w:val="1"/>
                <w:i w:val="0"/>
                <w:iCs w:val="0"/>
                <w:color w:val="1f3b73"/>
                <w:sz w:val="20"/>
                <w:szCs w:val="20"/>
                <w:rtl w:val="0"/>
              </w:rPr>
              <w:t xml:space="preserve">CIERRE</w:t>
            </w:r>
          </w:p>
          <w:p w:rsidR="00000000" w:rsidDel="00000000" w:rsidP="00000000" w:rsidRDefault="00000000" w:rsidRPr="00000000" w14:paraId="0000002A">
            <w:pPr>
              <w:jc w:val="center"/>
              <w:rPr/>
            </w:pPr>
            <w:r w:rsidDel="00000000" w:rsidR="00000000" w:rsidRPr="00000000">
              <w:rPr>
                <w:rFonts w:ascii="Calibri" w:cs="Calibri" w:eastAsia="Calibri" w:hAnsi="Calibri"/>
                <w:b w:val="1"/>
                <w:bCs w:val="1"/>
                <w:i w:val="0"/>
                <w:iCs w:val="0"/>
                <w:color w:val="1f3b73"/>
                <w:sz w:val="20"/>
                <w:szCs w:val="20"/>
                <w:rtl w:val="0"/>
              </w:rPr>
              <w:t xml:space="preserve">(15 min)</w:t>
            </w:r>
            <w:r w:rsidDel="00000000" w:rsidR="00000000" w:rsidRPr="00000000">
              <w:rPr>
                <w:rtl w:val="0"/>
              </w:rPr>
            </w:r>
          </w:p>
        </w:tc>
        <w:tc>
          <w:tcPr>
            <w:tcMar>
              <w:top w:w="80.0" w:type="dxa"/>
              <w:left w:w="100.0" w:type="dxa"/>
              <w:bottom w:w="80.0" w:type="dxa"/>
              <w:right w:w="100.0" w:type="dxa"/>
            </w:tcMar>
            <w:vAlign w:val="center"/>
          </w:tcPr>
          <w:p w:rsidR="00000000" w:rsidDel="00000000" w:rsidP="00000000" w:rsidRDefault="00000000" w:rsidRPr="00000000" w14:paraId="0000002B">
            <w:pPr>
              <w:keepNext w:val="0"/>
              <w:keepLines w:val="0"/>
              <w:widowControl w:val="1"/>
              <w:pBdr>
                <w:top w:space="0" w:sz="0" w:val="nil"/>
                <w:left w:space="0" w:sz="0" w:val="nil"/>
                <w:bottom w:space="0" w:sz="0" w:val="nil"/>
                <w:right w:space="0" w:sz="0" w:val="nil"/>
                <w:between w:space="0" w:sz="0" w:val="nil"/>
              </w:pBdr>
              <w:shd w:fill="auto" w:val="clear"/>
              <w:spacing w:after="60" w:before="0" w:line="240" w:lineRule="auto"/>
              <w:ind w:left="283.46456692913375" w:right="0" w:hanging="283.46456692913375"/>
              <w:jc w:val="both"/>
              <w:rPr/>
            </w:pPr>
            <w:r w:rsidDel="00000000" w:rsidR="00000000" w:rsidRPr="00000000">
              <w:rPr>
                <w:sz w:val="20"/>
                <w:szCs w:val="20"/>
                <w:rtl w:val="0"/>
              </w:rPr>
              <w:t xml:space="preserve">•    </w:t>
            </w:r>
            <w:r w:rsidDel="00000000" w:rsidR="00000000" w:rsidRPr="00000000">
              <w:rPr>
                <w:rtl w:val="0"/>
              </w:rPr>
              <w:t xml:space="preserve">Sistematización: se completa la Ficha de reflexión N.° 2 con el cuadro comparativo final.</w:t>
            </w:r>
          </w:p>
          <w:p w:rsidR="00000000" w:rsidDel="00000000" w:rsidP="00000000" w:rsidRDefault="00000000" w:rsidRPr="00000000" w14:paraId="0000002C">
            <w:pPr>
              <w:keepNext w:val="0"/>
              <w:keepLines w:val="0"/>
              <w:widowControl w:val="1"/>
              <w:pBdr>
                <w:top w:space="0" w:sz="0" w:val="nil"/>
                <w:left w:space="0" w:sz="0" w:val="nil"/>
                <w:bottom w:space="0" w:sz="0" w:val="nil"/>
                <w:right w:space="0" w:sz="0" w:val="nil"/>
                <w:between w:space="0" w:sz="0" w:val="nil"/>
              </w:pBdr>
              <w:shd w:fill="auto" w:val="clear"/>
              <w:spacing w:after="60" w:before="0" w:line="240" w:lineRule="auto"/>
              <w:ind w:left="283.46456692913375" w:right="0" w:hanging="283.46456692913375"/>
              <w:jc w:val="both"/>
              <w:rPr/>
            </w:pPr>
            <w:r w:rsidDel="00000000" w:rsidR="00000000" w:rsidRPr="00000000">
              <w:rPr>
                <w:rtl w:val="0"/>
              </w:rPr>
              <w:t xml:space="preserve">•   Se contrasta la votación inicial (intuición) con el análisis basado en datos: ¿cambió de opinión algún equipo? ¿por qué?</w:t>
            </w:r>
          </w:p>
          <w:p w:rsidR="00000000" w:rsidDel="00000000" w:rsidP="00000000" w:rsidRDefault="00000000" w:rsidRPr="00000000" w14:paraId="0000002D">
            <w:pPr>
              <w:keepNext w:val="0"/>
              <w:keepLines w:val="0"/>
              <w:widowControl w:val="1"/>
              <w:pBdr>
                <w:top w:space="0" w:sz="0" w:val="nil"/>
                <w:left w:space="0" w:sz="0" w:val="nil"/>
                <w:bottom w:space="0" w:sz="0" w:val="nil"/>
                <w:right w:space="0" w:sz="0" w:val="nil"/>
                <w:between w:space="0" w:sz="0" w:val="nil"/>
              </w:pBdr>
              <w:shd w:fill="auto" w:val="clear"/>
              <w:spacing w:after="60" w:before="0" w:line="240" w:lineRule="auto"/>
              <w:ind w:left="283.46456692913375" w:right="0" w:hanging="283.46456692913375"/>
              <w:jc w:val="both"/>
              <w:rPr/>
            </w:pPr>
            <w:r w:rsidDel="00000000" w:rsidR="00000000" w:rsidRPr="00000000">
              <w:rPr>
                <w:rtl w:val="0"/>
              </w:rPr>
              <w:t xml:space="preserve">•   Metacognición: ¿qué información fue más útil para comparar las alternativas? ¿qué me costó más anali</w:t>
            </w:r>
            <w:r w:rsidDel="00000000" w:rsidR="00000000" w:rsidRPr="00000000">
              <w:rPr>
                <w:sz w:val="20"/>
                <w:szCs w:val="20"/>
                <w:rtl w:val="0"/>
              </w:rPr>
              <w:t xml:space="preserve">zar?</w:t>
            </w:r>
            <w:r w:rsidDel="00000000" w:rsidR="00000000" w:rsidRPr="00000000">
              <w:rPr>
                <w:rtl w:val="0"/>
              </w:rPr>
            </w:r>
          </w:p>
          <w:p w:rsidR="00000000" w:rsidDel="00000000" w:rsidP="00000000" w:rsidRDefault="00000000" w:rsidRPr="00000000" w14:paraId="0000002E">
            <w:pPr>
              <w:spacing w:after="60" w:lineRule="auto"/>
              <w:rPr/>
            </w:pPr>
            <w:r w:rsidDel="00000000" w:rsidR="00000000" w:rsidRPr="00000000">
              <w:rPr>
                <w:sz w:val="20"/>
                <w:szCs w:val="20"/>
                <w:rtl w:val="0"/>
              </w:rPr>
              <w:t xml:space="preserve">• Autoevaluación con lista de cotejo.</w:t>
            </w:r>
            <w:r w:rsidDel="00000000" w:rsidR="00000000" w:rsidRPr="00000000">
              <w:rPr>
                <w:rtl w:val="0"/>
              </w:rPr>
            </w:r>
          </w:p>
          <w:p w:rsidR="00000000" w:rsidDel="00000000" w:rsidP="00000000" w:rsidRDefault="00000000" w:rsidRPr="00000000" w14:paraId="0000002F">
            <w:pPr>
              <w:spacing w:after="60" w:lineRule="auto"/>
              <w:rPr/>
            </w:pPr>
            <w:r w:rsidDel="00000000" w:rsidR="00000000" w:rsidRPr="00000000">
              <w:rPr>
                <w:sz w:val="20"/>
                <w:szCs w:val="20"/>
                <w:rtl w:val="0"/>
              </w:rPr>
              <w:t xml:space="preserve">• Se anuncia el reto de la sesión 3: elegir y sustentar la propuesta final.</w:t>
            </w:r>
            <w:r w:rsidDel="00000000" w:rsidR="00000000" w:rsidRPr="00000000">
              <w:rPr>
                <w:rtl w:val="0"/>
              </w:rPr>
            </w:r>
          </w:p>
        </w:tc>
      </w:tr>
    </w:tbl>
    <w:p w:rsidR="00000000" w:rsidDel="00000000" w:rsidP="00000000" w:rsidRDefault="00000000" w:rsidRPr="00000000" w14:paraId="00000030">
      <w:pPr>
        <w:spacing w:after="160" w:lineRule="auto"/>
        <w:rPr/>
      </w:pPr>
      <w:r w:rsidDel="00000000" w:rsidR="00000000" w:rsidRPr="00000000">
        <w:rPr>
          <w:rtl w:val="0"/>
        </w:rPr>
      </w:r>
    </w:p>
    <w:p w:rsidR="00000000" w:rsidDel="00000000" w:rsidP="00000000" w:rsidRDefault="00000000" w:rsidRPr="00000000" w14:paraId="00000031">
      <w:pPr>
        <w:spacing w:after="100" w:before="160" w:lineRule="auto"/>
        <w:rPr/>
      </w:pPr>
      <w:r w:rsidDel="00000000" w:rsidR="00000000" w:rsidRPr="00000000">
        <w:rPr>
          <w:rFonts w:ascii="Calibri" w:cs="Calibri" w:eastAsia="Calibri" w:hAnsi="Calibri"/>
          <w:b w:val="1"/>
          <w:bCs w:val="1"/>
          <w:color w:val="7b1f2c"/>
          <w:sz w:val="21"/>
          <w:szCs w:val="21"/>
          <w:rtl w:val="0"/>
        </w:rPr>
        <w:t xml:space="preserve">Momento C — Analiza las alternativas (preguntas guía)</w:t>
      </w:r>
      <w:r w:rsidDel="00000000" w:rsidR="00000000" w:rsidRPr="00000000">
        <w:rPr>
          <w:rtl w:val="0"/>
        </w:rPr>
      </w:r>
    </w:p>
    <w:p w:rsidR="00000000" w:rsidDel="00000000" w:rsidP="00000000" w:rsidRDefault="00000000" w:rsidRPr="00000000" w14:paraId="0000003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400" w:right="0" w:hanging="2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¿Cuánto dinero tendría que invertir Mariela para participar en la campaña navideña?</w:t>
      </w:r>
      <w:r w:rsidDel="00000000" w:rsidR="00000000" w:rsidRPr="00000000">
        <w:rPr>
          <w:rtl w:val="0"/>
        </w:rPr>
      </w:r>
    </w:p>
    <w:p w:rsidR="00000000" w:rsidDel="00000000" w:rsidP="00000000" w:rsidRDefault="00000000" w:rsidRPr="00000000" w14:paraId="0000003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400" w:right="0" w:hanging="2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¿Qué ganancias podría obtener si vende los productos previstos?</w:t>
      </w:r>
      <w:r w:rsidDel="00000000" w:rsidR="00000000" w:rsidRPr="00000000">
        <w:rPr>
          <w:rtl w:val="0"/>
        </w:rPr>
      </w:r>
    </w:p>
    <w:p w:rsidR="00000000" w:rsidDel="00000000" w:rsidP="00000000" w:rsidRDefault="00000000" w:rsidRPr="00000000" w14:paraId="0000003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400" w:right="0" w:hanging="2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¿Qué riesgos enfrenta si no logra vender todo?</w:t>
      </w:r>
      <w:r w:rsidDel="00000000" w:rsidR="00000000" w:rsidRPr="00000000">
        <w:rPr>
          <w:rtl w:val="0"/>
        </w:rPr>
      </w:r>
    </w:p>
    <w:p w:rsidR="00000000" w:rsidDel="00000000" w:rsidP="00000000" w:rsidRDefault="00000000" w:rsidRPr="00000000" w14:paraId="0000003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80" w:before="0" w:line="240" w:lineRule="auto"/>
        <w:ind w:left="400" w:right="0" w:hanging="260"/>
        <w:jc w:val="left"/>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¿Cómo afectaría esta inversión a sus ahorros actuales?</w:t>
      </w:r>
      <w:r w:rsidDel="00000000" w:rsidR="00000000" w:rsidRPr="00000000">
        <w:rPr>
          <w:rtl w:val="0"/>
        </w:rPr>
      </w:r>
    </w:p>
    <w:p w:rsidR="00000000" w:rsidDel="00000000" w:rsidP="00000000" w:rsidRDefault="00000000" w:rsidRPr="00000000" w14:paraId="00000036">
      <w:pPr>
        <w:spacing w:after="120" w:lineRule="auto"/>
        <w:rPr/>
      </w:pPr>
      <w:r w:rsidDel="00000000" w:rsidR="00000000" w:rsidRPr="00000000">
        <w:rPr>
          <w:rtl w:val="0"/>
        </w:rPr>
      </w:r>
    </w:p>
    <w:tbl>
      <w:tblPr>
        <w:tblStyle w:val="Table5"/>
        <w:tblW w:w="1044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440"/>
        <w:tblGridChange w:id="0">
          <w:tblGrid>
            <w:gridCol w:w="10440"/>
          </w:tblGrid>
        </w:tblGridChange>
      </w:tblGrid>
      <w:tr>
        <w:trPr>
          <w:cantSplit w:val="0"/>
          <w:tblHeader w:val="0"/>
        </w:trPr>
        <w:tc>
          <w:tcPr>
            <w:shd w:fill="e8eef7" w:val="clear"/>
            <w:tcMar>
              <w:top w:w="80.0" w:type="dxa"/>
              <w:left w:w="100.0" w:type="dxa"/>
              <w:bottom w:w="80.0" w:type="dxa"/>
              <w:right w:w="100.0" w:type="dxa"/>
            </w:tcMar>
            <w:vAlign w:val="center"/>
          </w:tcPr>
          <w:p w:rsidR="00000000" w:rsidDel="00000000" w:rsidP="00000000" w:rsidRDefault="00000000" w:rsidRPr="00000000" w14:paraId="00000037">
            <w:pPr>
              <w:rPr/>
            </w:pPr>
            <w:r w:rsidDel="00000000" w:rsidR="00000000" w:rsidRPr="00000000">
              <w:rPr>
                <w:b w:val="1"/>
                <w:bCs w:val="1"/>
                <w:color w:val="1f3b73"/>
                <w:sz w:val="20"/>
                <w:szCs w:val="20"/>
                <w:rtl w:val="0"/>
              </w:rPr>
              <w:t xml:space="preserve">Activa tu pensamiento: </w:t>
            </w:r>
            <w:r w:rsidDel="00000000" w:rsidR="00000000" w:rsidRPr="00000000">
              <w:rPr>
                <w:i w:val="1"/>
                <w:iCs w:val="1"/>
                <w:sz w:val="20"/>
                <w:szCs w:val="20"/>
                <w:rtl w:val="0"/>
              </w:rPr>
              <w:t xml:space="preserve">Si tuvieras S/ 40 ahorrados, ¿los arriesgarías para intentar ganar más, o preferirías guardarlos sin riesgo? ¿Por qué?</w:t>
            </w:r>
            <w:r w:rsidDel="00000000" w:rsidR="00000000" w:rsidRPr="00000000">
              <w:rPr>
                <w:rtl w:val="0"/>
              </w:rPr>
            </w:r>
          </w:p>
        </w:tc>
      </w:tr>
    </w:tbl>
    <w:p w:rsidR="00000000" w:rsidDel="00000000" w:rsidP="00000000" w:rsidRDefault="00000000" w:rsidRPr="00000000" w14:paraId="00000038">
      <w:pPr>
        <w:spacing w:after="120" w:lineRule="auto"/>
        <w:rPr/>
      </w:pPr>
      <w:r w:rsidDel="00000000" w:rsidR="00000000" w:rsidRPr="00000000">
        <w:rPr>
          <w:rtl w:val="0"/>
        </w:rPr>
      </w:r>
    </w:p>
    <w:p w:rsidR="00000000" w:rsidDel="00000000" w:rsidP="00000000" w:rsidRDefault="00000000" w:rsidRPr="00000000" w14:paraId="00000039">
      <w:pPr>
        <w:spacing w:after="120" w:before="200" w:lineRule="auto"/>
        <w:rPr/>
      </w:pPr>
      <w:r w:rsidDel="00000000" w:rsidR="00000000" w:rsidRPr="00000000">
        <w:rPr>
          <w:rFonts w:ascii="Calibri" w:cs="Calibri" w:eastAsia="Calibri" w:hAnsi="Calibri"/>
          <w:b w:val="1"/>
          <w:bCs w:val="1"/>
          <w:color w:val="1f3b73"/>
          <w:sz w:val="23"/>
          <w:szCs w:val="23"/>
          <w:rtl w:val="0"/>
        </w:rPr>
        <w:t xml:space="preserve">Recursos</w:t>
      </w:r>
      <w:r w:rsidDel="00000000" w:rsidR="00000000" w:rsidRPr="00000000">
        <w:rPr>
          <w:rtl w:val="0"/>
        </w:rPr>
      </w:r>
    </w:p>
    <w:p w:rsidR="00000000" w:rsidDel="00000000" w:rsidP="00000000" w:rsidRDefault="00000000" w:rsidRPr="00000000" w14:paraId="0000003A">
      <w:pPr>
        <w:spacing w:after="160" w:before="0" w:lineRule="auto"/>
        <w:jc w:val="left"/>
        <w:rPr/>
      </w:pPr>
      <w:r w:rsidDel="00000000" w:rsidR="00000000" w:rsidRPr="00000000">
        <w:rPr>
          <w:rFonts w:ascii="Calibri" w:cs="Calibri" w:eastAsia="Calibri" w:hAnsi="Calibri"/>
          <w:sz w:val="21"/>
          <w:szCs w:val="21"/>
          <w:rtl w:val="0"/>
        </w:rPr>
        <w:t xml:space="preserve">Ficha informativa N.° 2, Ficha de trabajo N.° 2 (cuadro comparativo), datos clave del caso, calculadora, plumones de colores para el "museo" de equipos.</w:t>
      </w:r>
      <w:r w:rsidDel="00000000" w:rsidR="00000000" w:rsidRPr="00000000">
        <w:rPr>
          <w:rtl w:val="0"/>
        </w:rPr>
      </w:r>
    </w:p>
    <w:tbl>
      <w:tblPr>
        <w:tblStyle w:val="Table6"/>
        <w:tblW w:w="1044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440"/>
        <w:tblGridChange w:id="0">
          <w:tblGrid>
            <w:gridCol w:w="10440"/>
          </w:tblGrid>
        </w:tblGridChange>
      </w:tblGrid>
      <w:tr>
        <w:trPr>
          <w:cantSplit w:val="0"/>
          <w:tblHeader w:val="0"/>
        </w:trPr>
        <w:tc>
          <w:tcPr>
            <w:shd w:fill="fff2cc" w:val="clear"/>
            <w:tcMar>
              <w:top w:w="80.0" w:type="dxa"/>
              <w:left w:w="100.0" w:type="dxa"/>
              <w:bottom w:w="80.0" w:type="dxa"/>
              <w:right w:w="100.0" w:type="dxa"/>
            </w:tcMar>
            <w:vAlign w:val="center"/>
          </w:tcPr>
          <w:p w:rsidR="00000000" w:rsidDel="00000000" w:rsidP="00000000" w:rsidRDefault="00000000" w:rsidRPr="00000000" w14:paraId="0000003B">
            <w:pPr>
              <w:rPr/>
            </w:pPr>
            <w:r w:rsidDel="00000000" w:rsidR="00000000" w:rsidRPr="00000000">
              <w:rPr>
                <w:b w:val="1"/>
                <w:bCs w:val="1"/>
                <w:color w:val="7b1f2c"/>
                <w:sz w:val="20"/>
                <w:szCs w:val="20"/>
                <w:rtl w:val="0"/>
              </w:rPr>
              <w:t xml:space="preserve">Atención a la diversidad (DUA): </w:t>
            </w:r>
            <w:sdt>
              <w:sdtPr>
                <w:id w:val="987753999"/>
                <w:tag w:val="goog_rdk_0"/>
              </w:sdtPr>
              <w:sdtContent>
                <w:r w:rsidDel="00000000" w:rsidR="00000000" w:rsidRPr="00000000">
                  <w:rPr>
                    <w:rFonts w:ascii="Arial Unicode MS" w:cs="Arial Unicode MS" w:eastAsia="Arial Unicode MS" w:hAnsi="Arial Unicode MS"/>
                    <w:sz w:val="20"/>
                    <w:szCs w:val="20"/>
                    <w:rtl w:val="0"/>
                  </w:rPr>
                  <w:t xml:space="preserve">Se permite completar el cuadro comparativo de forma escrita, con dibujos/íconos (✔/✘/⚠) o de forma oral grabada para estudiantes que lo requieran; los equipos pueden distribuirse roles (cálculo, redacción, exposición) según sus fortalezas.</w:t>
                </w:r>
              </w:sdtContent>
            </w:sdt>
            <w:r w:rsidDel="00000000" w:rsidR="00000000" w:rsidRPr="00000000">
              <w:rPr>
                <w:rtl w:val="0"/>
              </w:rPr>
            </w:r>
          </w:p>
        </w:tc>
      </w:tr>
    </w:tbl>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sectPr>
      <w:headerReference r:id="rId7" w:type="default"/>
      <w:footerReference r:id="rId8" w:type="default"/>
      <w:pgSz w:h="16840" w:w="11907" w:orient="portrait"/>
      <w:pgMar w:bottom="900" w:top="900" w:left="900" w:right="90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Georgia"/>
  <w:font w:name="Calibri"/>
  <w:font w:name="Arial Unicode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E">
    <w:pPr>
      <w:jc w:val="center"/>
      <w:rPr/>
    </w:pPr>
    <w:r w:rsidDel="00000000" w:rsidR="00000000" w:rsidRPr="00000000">
      <w:rPr>
        <w:color w:val="666666"/>
        <w:sz w:val="16"/>
        <w:szCs w:val="16"/>
        <w:rtl w:val="0"/>
      </w:rPr>
      <w:t xml:space="preserve">4°B — Línea temática 1: Ahorro e Inversión  ·  Pág. </w:t>
    </w:r>
    <w:r w:rsidDel="00000000" w:rsidR="00000000" w:rsidRPr="00000000">
      <w:rPr>
        <w:color w:val="666666"/>
        <w:sz w:val="16"/>
        <w:szCs w:val="16"/>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D">
    <w:pPr>
      <w:pBdr>
        <w:bottom w:color="7b1f2c" w:space="4" w:sz="6" w:val="single"/>
      </w:pBdr>
      <w:jc w:val="right"/>
      <w:rPr/>
    </w:pPr>
    <w:r w:rsidDel="00000000" w:rsidR="00000000" w:rsidRPr="00000000">
      <w:rPr>
        <w:i w:val="1"/>
        <w:iCs w:val="1"/>
        <w:color w:val="1f3b73"/>
        <w:sz w:val="16"/>
        <w:szCs w:val="16"/>
        <w:rtl w:val="0"/>
      </w:rPr>
      <w:t xml:space="preserve">Concurso Educación Financiera en tu Cole 2026 — 4°B</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400" w:hanging="2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32"/>
      <w:szCs w:val="32"/>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26"/>
      <w:szCs w:val="26"/>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1f4d78"/>
      <w:sz w:val="24"/>
      <w:szCs w:val="24"/>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1"/>
      <w:iCs w:val="1"/>
      <w:smallCaps w:val="0"/>
      <w:strike w:val="0"/>
      <w:color w:val="2e74b5"/>
      <w:sz w:val="20"/>
      <w:szCs w:val="20"/>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20"/>
      <w:szCs w:val="20"/>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1f4d78"/>
      <w:sz w:val="20"/>
      <w:szCs w:val="20"/>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000000"/>
      <w:sz w:val="56"/>
      <w:szCs w:val="56"/>
      <w:u w:val="none"/>
      <w:shd w:fill="auto" w:val="clear"/>
      <w:vertAlign w:val="baselin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qtefVt7ISV9t8aaBLre1blQ7I8w==">CgMxLjAaHQoBMBIYChYIB0ISEhBBcmlhbCBVbmljb2RlIE1TOAByITE4U1U5MWZUYlhBa1pnWUhxWE1OT0lFS1dSMEpPSEdFdQ==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