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9"/>
        <w:tblW w:w="843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430"/>
      </w:tblGrid>
      <w:tr w:rsidR="0029286E">
        <w:tc>
          <w:tcPr>
            <w:tcW w:w="8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286E" w:rsidRDefault="00902CA9">
            <w:pPr>
              <w:widowControl w:val="0"/>
              <w:jc w:val="center"/>
              <w:rPr>
                <w:rFonts w:ascii="Barlow" w:eastAsia="Barlow" w:hAnsi="Barlow" w:cs="Barlow"/>
                <w:b/>
                <w:color w:val="0000FF"/>
              </w:rPr>
            </w:pPr>
            <w:r>
              <w:rPr>
                <w:rFonts w:ascii="Barlow" w:eastAsia="Barlow" w:hAnsi="Barlow" w:cs="Barlow"/>
                <w:b/>
                <w:color w:val="0000FF"/>
              </w:rPr>
              <w:t>FICHA DE REFLEXIÓN</w:t>
            </w:r>
          </w:p>
        </w:tc>
      </w:tr>
    </w:tbl>
    <w:p w:rsidR="0029286E" w:rsidRDefault="0029286E">
      <w:pPr>
        <w:spacing w:after="0" w:line="240" w:lineRule="auto"/>
        <w:ind w:right="-7"/>
        <w:rPr>
          <w:rFonts w:ascii="Barlow" w:eastAsia="Barlow" w:hAnsi="Barlow" w:cs="Barlow"/>
          <w:b/>
          <w:sz w:val="20"/>
          <w:szCs w:val="20"/>
        </w:rPr>
      </w:pP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a"/>
        <w:tblW w:w="837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370"/>
      </w:tblGrid>
      <w:tr w:rsidR="0029286E">
        <w:tc>
          <w:tcPr>
            <w:tcW w:w="837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86E" w:rsidRDefault="00902CA9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DATOS GENERALES:</w:t>
            </w:r>
          </w:p>
        </w:tc>
      </w:tr>
    </w:tbl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902CA9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Institución educativa:</w:t>
      </w:r>
      <w:r w:rsidR="00CC2CB8">
        <w:rPr>
          <w:rFonts w:ascii="Barlow" w:eastAsia="Barlow" w:hAnsi="Barlow" w:cs="Barlow"/>
          <w:b/>
        </w:rPr>
        <w:t xml:space="preserve"> IE PNP 7 DE AGOSTO</w:t>
      </w: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:rsidR="0029286E" w:rsidRDefault="00902CA9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Área: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 w:rsidR="00CC2CB8">
        <w:rPr>
          <w:rFonts w:ascii="Barlow" w:eastAsia="Barlow" w:hAnsi="Barlow" w:cs="Barlow"/>
          <w:b/>
        </w:rPr>
        <w:t>MATEMÁTICA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  <w:t>Grado y Sección:</w:t>
      </w:r>
      <w:r w:rsidR="00CC2CB8">
        <w:rPr>
          <w:rFonts w:ascii="Barlow" w:eastAsia="Barlow" w:hAnsi="Barlow" w:cs="Barlow"/>
          <w:b/>
        </w:rPr>
        <w:t xml:space="preserve"> 3° A-B</w:t>
      </w: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:rsidR="0029286E" w:rsidRDefault="00902CA9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Cantidad de estudiantes:</w:t>
      </w:r>
      <w:r>
        <w:rPr>
          <w:rFonts w:ascii="Barlow" w:eastAsia="Barlow" w:hAnsi="Barlow" w:cs="Barlow"/>
          <w:b/>
        </w:rPr>
        <w:tab/>
      </w:r>
      <w:r w:rsidR="00CC2CB8">
        <w:rPr>
          <w:rFonts w:ascii="Barlow" w:eastAsia="Barlow" w:hAnsi="Barlow" w:cs="Barlow"/>
          <w:b/>
        </w:rPr>
        <w:t>47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  <w:t>Fecha:</w:t>
      </w:r>
      <w:r w:rsidR="00CC2CB8">
        <w:rPr>
          <w:rFonts w:ascii="Barlow" w:eastAsia="Barlow" w:hAnsi="Barlow" w:cs="Barlow"/>
          <w:b/>
        </w:rPr>
        <w:t xml:space="preserve"> DEL 11 AL 13 DE AGOSTO</w:t>
      </w: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:rsidR="0029286E" w:rsidRDefault="00902CA9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proofErr w:type="spellStart"/>
      <w:proofErr w:type="gramStart"/>
      <w:r>
        <w:rPr>
          <w:rFonts w:ascii="Barlow" w:eastAsia="Barlow" w:hAnsi="Barlow" w:cs="Barlow"/>
          <w:b/>
        </w:rPr>
        <w:t>Docente:</w:t>
      </w:r>
      <w:r w:rsidR="00CC2CB8">
        <w:rPr>
          <w:rFonts w:ascii="Barlow" w:eastAsia="Barlow" w:hAnsi="Barlow" w:cs="Barlow"/>
          <w:b/>
        </w:rPr>
        <w:t>ALICIA</w:t>
      </w:r>
      <w:proofErr w:type="spellEnd"/>
      <w:proofErr w:type="gramEnd"/>
      <w:r w:rsidR="00CC2CB8">
        <w:rPr>
          <w:rFonts w:ascii="Barlow" w:eastAsia="Barlow" w:hAnsi="Barlow" w:cs="Barlow"/>
          <w:b/>
        </w:rPr>
        <w:t xml:space="preserve"> CRUZ CCAHUANA</w:t>
      </w: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b"/>
        <w:tblW w:w="858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29286E">
        <w:tc>
          <w:tcPr>
            <w:tcW w:w="858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86E" w:rsidRDefault="00902CA9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EVIDENCIA DE LA EJECUCIÓN</w:t>
            </w:r>
          </w:p>
        </w:tc>
      </w:tr>
    </w:tbl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902CA9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  <w:r>
        <w:rPr>
          <w:rFonts w:ascii="Barlow" w:eastAsia="Barlow" w:hAnsi="Barlow" w:cs="Barlow"/>
          <w:sz w:val="20"/>
          <w:szCs w:val="20"/>
        </w:rPr>
        <w:t>En esta sección, sube una imagen que evidencie la aplicación de tu práctica pedagógica en educación financiera con tus estudiantes:</w:t>
      </w: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c"/>
        <w:tblW w:w="85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5"/>
      </w:tblGrid>
      <w:tr w:rsidR="0029286E">
        <w:trPr>
          <w:trHeight w:val="3645"/>
        </w:trPr>
        <w:tc>
          <w:tcPr>
            <w:tcW w:w="8595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CC2CB8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  <w:t>No les pude tomar ninguna fotografía</w:t>
            </w: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29286E" w:rsidRDefault="0029286E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</w:tc>
      </w:tr>
    </w:tbl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d"/>
        <w:tblW w:w="858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29286E">
        <w:tc>
          <w:tcPr>
            <w:tcW w:w="858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86E" w:rsidRDefault="00902CA9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REFLEXIÓN DE LA EJECUCIÓN</w:t>
            </w:r>
          </w:p>
        </w:tc>
      </w:tr>
    </w:tbl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902CA9">
      <w:p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En esta sección, responde a las siguientes</w:t>
      </w: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</w:p>
    <w:p w:rsidR="0029286E" w:rsidRDefault="00902CA9">
      <w:pPr>
        <w:numPr>
          <w:ilvl w:val="0"/>
          <w:numId w:val="2"/>
        </w:num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Describe brevemente la actividad realizada y su objetivo.</w:t>
      </w:r>
    </w:p>
    <w:p w:rsidR="0029286E" w:rsidRDefault="0029286E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CC2CB8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  <w:r>
        <w:rPr>
          <w:rFonts w:ascii="Barlow" w:eastAsia="Barlow" w:hAnsi="Barlow" w:cs="Barlow"/>
          <w:sz w:val="20"/>
          <w:szCs w:val="20"/>
        </w:rPr>
        <w:t xml:space="preserve">Los estudiantes completaron la ficha de la sesión 1, adjunta en el formulario, en la que analizaron el costo que implica el consumo de gaseosas, chupetines y papitas </w:t>
      </w:r>
      <w:proofErr w:type="spellStart"/>
      <w:r>
        <w:rPr>
          <w:rFonts w:ascii="Barlow" w:eastAsia="Barlow" w:hAnsi="Barlow" w:cs="Barlow"/>
          <w:sz w:val="20"/>
          <w:szCs w:val="20"/>
        </w:rPr>
        <w:t>lays</w:t>
      </w:r>
      <w:proofErr w:type="spellEnd"/>
      <w:r>
        <w:rPr>
          <w:rFonts w:ascii="Barlow" w:eastAsia="Barlow" w:hAnsi="Barlow" w:cs="Barlow"/>
          <w:sz w:val="20"/>
          <w:szCs w:val="20"/>
        </w:rPr>
        <w:t xml:space="preserve">, durante una semana, un mes, un año, se sorprendieron, porque un consumo regular de 4 soles, en el recreo, en un año escolar significaba algo más de 2 500 soles, en un solo estudiante, si el padre de familia tuviera más de un hijo en el colegio, el monto era sorprendente, observaron </w:t>
      </w:r>
      <w:proofErr w:type="spellStart"/>
      <w:r>
        <w:rPr>
          <w:rFonts w:ascii="Barlow" w:eastAsia="Barlow" w:hAnsi="Barlow" w:cs="Barlow"/>
          <w:sz w:val="20"/>
          <w:szCs w:val="20"/>
        </w:rPr>
        <w:t>como</w:t>
      </w:r>
      <w:proofErr w:type="spellEnd"/>
      <w:r>
        <w:rPr>
          <w:rFonts w:ascii="Barlow" w:eastAsia="Barlow" w:hAnsi="Barlow" w:cs="Barlow"/>
          <w:sz w:val="20"/>
          <w:szCs w:val="20"/>
        </w:rPr>
        <w:t xml:space="preserve"> estos gastos que parecen menores, asimismo, al momento de preguntarles qué harían si les dieran mesadas, ellos </w:t>
      </w:r>
      <w:r>
        <w:rPr>
          <w:rFonts w:ascii="Barlow" w:eastAsia="Barlow" w:hAnsi="Barlow" w:cs="Barlow"/>
          <w:sz w:val="20"/>
          <w:szCs w:val="20"/>
        </w:rPr>
        <w:lastRenderedPageBreak/>
        <w:t>consideraron que lo gastarían en comprar un buen plato de comida, otros que lo guardarían, otros que dividirían el dinero en diferentes rubros.</w:t>
      </w:r>
    </w:p>
    <w:p w:rsidR="0029286E" w:rsidRDefault="00902CA9">
      <w:pPr>
        <w:spacing w:after="0" w:line="48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  <w:r>
        <w:rPr>
          <w:rFonts w:ascii="Barlow" w:eastAsia="Barlow" w:hAnsi="Barlow" w:cs="Barl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Barlow" w:eastAsia="Barlow" w:hAnsi="Barlow" w:cs="Barl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29286E" w:rsidRDefault="0029286E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29286E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4"/>
          <w:szCs w:val="24"/>
        </w:rPr>
      </w:pPr>
    </w:p>
    <w:p w:rsidR="0029286E" w:rsidRDefault="00902CA9">
      <w:pPr>
        <w:numPr>
          <w:ilvl w:val="0"/>
          <w:numId w:val="2"/>
        </w:num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¿Qué aprendieron o fortalecie</w:t>
      </w:r>
      <w:r>
        <w:rPr>
          <w:rFonts w:ascii="Barlow" w:eastAsia="Barlow" w:hAnsi="Barlow" w:cs="Barlow"/>
          <w:sz w:val="24"/>
          <w:szCs w:val="24"/>
        </w:rPr>
        <w:t>ron tus estudiantes en Educación Financiera?</w:t>
      </w:r>
    </w:p>
    <w:p w:rsidR="0029286E" w:rsidRDefault="0029286E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CC2CB8">
      <w:pPr>
        <w:spacing w:after="0" w:line="48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  <w:r>
        <w:rPr>
          <w:rFonts w:ascii="Barlow" w:eastAsia="Barlow" w:hAnsi="Barlow" w:cs="Barlow"/>
          <w:sz w:val="20"/>
          <w:szCs w:val="20"/>
        </w:rPr>
        <w:t>La importancia de ahorrar, de reducir algunos gastos, para poder emplearlo en otro, mejorar su alimentación.</w:t>
      </w:r>
      <w:r w:rsidR="00902CA9">
        <w:rPr>
          <w:rFonts w:ascii="Barlow" w:eastAsia="Barlow" w:hAnsi="Barlow" w:cs="Barl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2CA9">
        <w:rPr>
          <w:rFonts w:ascii="Barlow" w:eastAsia="Barlow" w:hAnsi="Barlow" w:cs="Barlow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902CA9">
        <w:rPr>
          <w:rFonts w:ascii="Barlow" w:eastAsia="Barlow" w:hAnsi="Barlow" w:cs="Barlow"/>
          <w:sz w:val="20"/>
          <w:szCs w:val="20"/>
        </w:rPr>
        <w:br/>
      </w:r>
    </w:p>
    <w:p w:rsidR="0029286E" w:rsidRDefault="00902CA9">
      <w:pPr>
        <w:numPr>
          <w:ilvl w:val="0"/>
          <w:numId w:val="2"/>
        </w:num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¿Qué mejorarías o harías diferente en una próxima implementación?</w:t>
      </w: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29286E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29286E" w:rsidRDefault="00902CA9">
      <w:pPr>
        <w:spacing w:after="0" w:line="48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  <w:r>
        <w:rPr>
          <w:rFonts w:ascii="Barlow" w:eastAsia="Barlow" w:hAnsi="Barlow" w:cs="Barlow"/>
          <w:sz w:val="20"/>
          <w:szCs w:val="20"/>
        </w:rPr>
        <w:t>__</w:t>
      </w:r>
      <w:r w:rsidR="00CC2CB8">
        <w:rPr>
          <w:rFonts w:ascii="Barlow" w:eastAsia="Barlow" w:hAnsi="Barlow" w:cs="Barlow"/>
          <w:sz w:val="20"/>
          <w:szCs w:val="20"/>
        </w:rPr>
        <w:t>en la siguiente clase, buscaré que propongan un tipo de alimentación o alternativas de loncheras que ellos puedan preparar, que implique gastar  menos de lo que gastan en el kiosco  y que puedan prevenir enfermedades, para evitar tener que gastar dinero en salud.</w:t>
      </w:r>
      <w:bookmarkStart w:id="0" w:name="_GoBack"/>
      <w:bookmarkEnd w:id="0"/>
      <w:r>
        <w:rPr>
          <w:rFonts w:ascii="Barlow" w:eastAsia="Barlow" w:hAnsi="Barlow" w:cs="Barlow"/>
          <w:sz w:val="20"/>
          <w:szCs w:val="20"/>
        </w:rPr>
        <w:t>____________________</w:t>
      </w:r>
      <w:r>
        <w:rPr>
          <w:rFonts w:ascii="Barlow" w:eastAsia="Barlow" w:hAnsi="Barlow" w:cs="Barl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arlow" w:eastAsia="Barlow" w:hAnsi="Barlow" w:cs="Barlow"/>
          <w:sz w:val="20"/>
          <w:szCs w:val="20"/>
        </w:rPr>
        <w:t>______________________________________________________________________________________________________________________________________________</w:t>
      </w:r>
    </w:p>
    <w:p w:rsidR="0029286E" w:rsidRDefault="0029286E">
      <w:pPr>
        <w:rPr>
          <w:b/>
        </w:rPr>
      </w:pPr>
    </w:p>
    <w:sectPr w:rsidR="0029286E">
      <w:headerReference w:type="default" r:id="rId8"/>
      <w:footerReference w:type="default" r:id="rId9"/>
      <w:pgSz w:w="11906" w:h="16838"/>
      <w:pgMar w:top="1418" w:right="1285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A9" w:rsidRDefault="00902CA9">
      <w:pPr>
        <w:spacing w:after="0" w:line="240" w:lineRule="auto"/>
      </w:pPr>
      <w:r>
        <w:separator/>
      </w:r>
    </w:p>
  </w:endnote>
  <w:endnote w:type="continuationSeparator" w:id="0">
    <w:p w:rsidR="00902CA9" w:rsidRDefault="0090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6E" w:rsidRDefault="0029286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:rsidR="0029286E" w:rsidRDefault="0029286E">
    <w:pPr>
      <w:tabs>
        <w:tab w:val="center" w:pos="4252"/>
        <w:tab w:val="right" w:pos="8504"/>
      </w:tabs>
      <w:spacing w:after="0"/>
      <w:ind w:left="720"/>
      <w:jc w:val="both"/>
      <w:rPr>
        <w:color w:val="C3BD96"/>
        <w:sz w:val="20"/>
        <w:szCs w:val="20"/>
      </w:rPr>
    </w:pPr>
  </w:p>
  <w:p w:rsidR="0029286E" w:rsidRDefault="002928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C3BD9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A9" w:rsidRDefault="00902CA9">
      <w:pPr>
        <w:spacing w:after="0" w:line="240" w:lineRule="auto"/>
      </w:pPr>
      <w:r>
        <w:separator/>
      </w:r>
    </w:p>
  </w:footnote>
  <w:footnote w:type="continuationSeparator" w:id="0">
    <w:p w:rsidR="00902CA9" w:rsidRDefault="00902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6E" w:rsidRDefault="002928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E71"/>
    <w:multiLevelType w:val="multilevel"/>
    <w:tmpl w:val="5B94C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4F9493A"/>
    <w:multiLevelType w:val="multilevel"/>
    <w:tmpl w:val="18ACF9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6E"/>
    <w:rsid w:val="0029286E"/>
    <w:rsid w:val="00902CA9"/>
    <w:rsid w:val="00C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AD42"/>
  <w15:docId w15:val="{03D7204D-F3FF-4C41-A86E-F8B6754E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224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24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2448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42244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448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448"/>
    <w:rPr>
      <w:lang w:val="es-PE"/>
    </w:rPr>
  </w:style>
  <w:style w:type="character" w:styleId="Textoennegrita">
    <w:name w:val="Strong"/>
    <w:basedOn w:val="Fuentedeprrafopredeter"/>
    <w:uiPriority w:val="22"/>
    <w:qFormat/>
    <w:rsid w:val="000D1A1A"/>
    <w:rPr>
      <w:b/>
      <w:bCs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1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4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7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8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9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a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b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d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0+Ih7K+JvSeAkWxTfK024x9Dw==">CgMxLjA4AHIhMUc3V25LNkE0UXRwclBIVER2QzdMSXNJWi1iTVY3aktm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</dc:creator>
  <cp:lastModifiedBy>usuario</cp:lastModifiedBy>
  <cp:revision>2</cp:revision>
  <dcterms:created xsi:type="dcterms:W3CDTF">2025-08-17T11:14:00Z</dcterms:created>
  <dcterms:modified xsi:type="dcterms:W3CDTF">2025-08-17T11:14:00Z</dcterms:modified>
</cp:coreProperties>
</file>