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SESIÓN DE APRENDIZAJE – NOS TRAZAMOS UN PLAN DE AHORRO</w:t>
      </w:r>
    </w:p>
    <w:p w:rsidR="00000000" w:rsidDel="00000000" w:rsidP="00000000" w:rsidRDefault="00000000" w:rsidRPr="00000000" w14:paraId="00000002">
      <w:pPr>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3">
      <w:pPr>
        <w:numPr>
          <w:ilvl w:val="0"/>
          <w:numId w:val="3"/>
        </w:numPr>
        <w:pBdr>
          <w:top w:space="0" w:sz="0" w:val="nil"/>
          <w:left w:space="0" w:sz="0" w:val="nil"/>
          <w:bottom w:space="0" w:sz="0" w:val="nil"/>
          <w:right w:space="0" w:sz="0" w:val="nil"/>
          <w:between w:space="0" w:sz="0" w:val="nil"/>
        </w:pBdr>
        <w:ind w:left="709" w:hanging="720"/>
        <w:rPr>
          <w:b w:val="1"/>
          <w:color w:val="000000"/>
          <w:sz w:val="20"/>
          <w:szCs w:val="20"/>
        </w:rPr>
      </w:pPr>
      <w:r w:rsidDel="00000000" w:rsidR="00000000" w:rsidRPr="00000000">
        <w:rPr>
          <w:b w:val="1"/>
          <w:color w:val="000000"/>
          <w:sz w:val="20"/>
          <w:szCs w:val="20"/>
          <w:rtl w:val="0"/>
        </w:rPr>
        <w:t xml:space="preserve">Datos generales</w:t>
      </w:r>
    </w:p>
    <w:p w:rsidR="00000000" w:rsidDel="00000000" w:rsidP="00000000" w:rsidRDefault="00000000" w:rsidRPr="00000000" w14:paraId="00000004">
      <w:pPr>
        <w:widowControl w:val="0"/>
        <w:numPr>
          <w:ilvl w:val="0"/>
          <w:numId w:val="1"/>
        </w:numPr>
        <w:pBdr>
          <w:top w:space="0" w:sz="0" w:val="nil"/>
          <w:left w:space="0" w:sz="0" w:val="nil"/>
          <w:bottom w:space="0" w:sz="0" w:val="nil"/>
          <w:right w:space="0" w:sz="0" w:val="nil"/>
          <w:between w:space="0" w:sz="0" w:val="nil"/>
        </w:pBdr>
        <w:tabs>
          <w:tab w:val="left" w:leader="none" w:pos="0"/>
        </w:tabs>
        <w:ind w:left="720" w:right="-13" w:hanging="360"/>
        <w:jc w:val="both"/>
        <w:rPr>
          <w:color w:val="000000"/>
          <w:sz w:val="20"/>
          <w:szCs w:val="20"/>
        </w:rPr>
      </w:pPr>
      <w:r w:rsidDel="00000000" w:rsidR="00000000" w:rsidRPr="00000000">
        <w:rPr>
          <w:color w:val="000000"/>
          <w:sz w:val="20"/>
          <w:szCs w:val="20"/>
          <w:rtl w:val="0"/>
        </w:rPr>
        <w:t xml:space="preserve">Área</w:t>
        <w:tab/>
        <w:tab/>
        <w:tab/>
        <w:t xml:space="preserve">: Matemática</w:t>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tabs>
          <w:tab w:val="left" w:leader="none" w:pos="0"/>
        </w:tabs>
        <w:ind w:left="720" w:right="-13" w:hanging="360"/>
        <w:jc w:val="both"/>
        <w:rPr>
          <w:color w:val="000000"/>
          <w:sz w:val="20"/>
          <w:szCs w:val="20"/>
        </w:rPr>
      </w:pPr>
      <w:r w:rsidDel="00000000" w:rsidR="00000000" w:rsidRPr="00000000">
        <w:rPr>
          <w:color w:val="000000"/>
          <w:sz w:val="20"/>
          <w:szCs w:val="20"/>
          <w:rtl w:val="0"/>
        </w:rPr>
        <w:t xml:space="preserve">Competencia</w:t>
        <w:tab/>
        <w:tab/>
        <w:t xml:space="preserve">: Resuelve problemas de Regularidad, equivalencia y cambio.</w:t>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tabs>
          <w:tab w:val="left" w:leader="none" w:pos="0"/>
        </w:tabs>
        <w:ind w:left="720" w:hanging="360"/>
        <w:jc w:val="both"/>
        <w:rPr>
          <w:color w:val="000000"/>
          <w:sz w:val="20"/>
          <w:szCs w:val="20"/>
        </w:rPr>
      </w:pPr>
      <w:r w:rsidDel="00000000" w:rsidR="00000000" w:rsidRPr="00000000">
        <w:rPr>
          <w:color w:val="000000"/>
          <w:sz w:val="20"/>
          <w:szCs w:val="20"/>
          <w:rtl w:val="0"/>
        </w:rPr>
        <w:t xml:space="preserve">Docente</w:t>
        <w:tab/>
        <w:tab/>
        <w:tab/>
        <w:t xml:space="preserve">: Seclén Chirinos, Evelyn</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tabs>
          <w:tab w:val="left" w:leader="none" w:pos="0"/>
        </w:tabs>
        <w:ind w:left="720" w:hanging="360"/>
        <w:jc w:val="both"/>
        <w:rPr>
          <w:color w:val="000000"/>
          <w:sz w:val="20"/>
          <w:szCs w:val="20"/>
        </w:rPr>
      </w:pPr>
      <w:r w:rsidDel="00000000" w:rsidR="00000000" w:rsidRPr="00000000">
        <w:rPr>
          <w:color w:val="000000"/>
          <w:sz w:val="20"/>
          <w:szCs w:val="20"/>
          <w:rtl w:val="0"/>
        </w:rPr>
        <w:t xml:space="preserve">Fecha</w:t>
        <w:tab/>
        <w:tab/>
        <w:tab/>
        <w:t xml:space="preserve">: 20 al 24 de agosto.</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tabs>
          <w:tab w:val="left" w:leader="none" w:pos="0"/>
        </w:tabs>
        <w:ind w:left="720" w:hanging="360"/>
        <w:jc w:val="both"/>
        <w:rPr>
          <w:color w:val="000000"/>
          <w:sz w:val="20"/>
          <w:szCs w:val="20"/>
        </w:rPr>
      </w:pPr>
      <w:r w:rsidDel="00000000" w:rsidR="00000000" w:rsidRPr="00000000">
        <w:rPr>
          <w:color w:val="000000"/>
          <w:sz w:val="20"/>
          <w:szCs w:val="20"/>
          <w:rtl w:val="0"/>
        </w:rPr>
        <w:t xml:space="preserve">Ciclo y grado</w:t>
        <w:tab/>
        <w:tab/>
        <w:t xml:space="preserve">: Ciclo VI - 1° de secundaria - Secciones A-B</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709" w:hanging="720"/>
        <w:rPr>
          <w:b w:val="1"/>
          <w:color w:val="000000"/>
          <w:sz w:val="20"/>
          <w:szCs w:val="20"/>
        </w:rPr>
      </w:pPr>
      <w:r w:rsidDel="00000000" w:rsidR="00000000" w:rsidRPr="00000000">
        <w:rPr>
          <w:b w:val="1"/>
          <w:color w:val="000000"/>
          <w:sz w:val="20"/>
          <w:szCs w:val="20"/>
          <w:rtl w:val="0"/>
        </w:rPr>
        <w:t xml:space="preserve">PROPÓSITO: </w:t>
      </w:r>
      <w:r w:rsidDel="00000000" w:rsidR="00000000" w:rsidRPr="00000000">
        <w:rPr>
          <w:color w:val="000000"/>
          <w:sz w:val="20"/>
          <w:szCs w:val="20"/>
          <w:rtl w:val="0"/>
        </w:rPr>
        <w:t xml:space="preserve">Hacemos uso de las progresiones aritméticas para trazarnos un plan de ahorro y sus predicciones a un plazo determinado.</w:t>
      </w:r>
      <w:r w:rsidDel="00000000" w:rsidR="00000000" w:rsidRPr="00000000">
        <w:rPr>
          <w:rtl w:val="0"/>
        </w:rPr>
      </w:r>
    </w:p>
    <w:tbl>
      <w:tblPr>
        <w:tblStyle w:val="Table1"/>
        <w:tblW w:w="976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6"/>
        <w:gridCol w:w="2368"/>
        <w:gridCol w:w="4292"/>
        <w:gridCol w:w="1633"/>
        <w:tblGridChange w:id="0">
          <w:tblGrid>
            <w:gridCol w:w="1476"/>
            <w:gridCol w:w="2368"/>
            <w:gridCol w:w="4292"/>
            <w:gridCol w:w="1633"/>
          </w:tblGrid>
        </w:tblGridChange>
      </w:tblGrid>
      <w:tr>
        <w:trPr>
          <w:cantSplit w:val="0"/>
          <w:tblHeader w:val="0"/>
        </w:trPr>
        <w:tc>
          <w:tcPr>
            <w:shd w:fill="75c4ff" w:val="clear"/>
            <w:vAlign w:val="center"/>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ENFOQUE</w:t>
            </w:r>
          </w:p>
        </w:tc>
        <w:tc>
          <w:tcPr>
            <w:shd w:fill="75c4ff" w:val="clear"/>
            <w:vAlign w:val="center"/>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DESEMPEÑOS</w:t>
            </w:r>
          </w:p>
        </w:tc>
        <w:tc>
          <w:tcPr>
            <w:shd w:fill="75c4ff" w:val="clear"/>
            <w:vAlign w:val="center"/>
          </w:tcPr>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CRITERIOS DE EVALUACIÓN</w:t>
            </w:r>
          </w:p>
        </w:tc>
        <w:tc>
          <w:tcPr>
            <w:shd w:fill="75c4ff" w:val="clear"/>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PRODUCTO</w:t>
            </w:r>
          </w:p>
        </w:tc>
      </w:tr>
      <w:tr>
        <w:trPr>
          <w:cantSplit w:val="0"/>
          <w:trHeight w:val="1558"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ENFOQUE AMBIENTAL</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Establece relaciones entre montos y descuentos, gastos, presupuestos y los representa con expresiones de números naturales, decimales y sus operaciones.</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Expresa,</w:t>
              <w:tab/>
              <w:t xml:space="preserve"> con diversas representaciones gráficas, tabulares y simbólicas, y con lenguaje algebraico, su comprensión sobre la formación de una progresión aritmética, para representar un plan de ahorro e interpretar un problema según su contexto y estableciendo relaciones entre representaciones.</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Plan de ahorro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Ficha de trabajo</w:t>
            </w:r>
          </w:p>
        </w:tc>
      </w:tr>
    </w:tbl>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709" w:hanging="720"/>
        <w:rPr>
          <w:b w:val="1"/>
          <w:color w:val="000000"/>
          <w:sz w:val="20"/>
          <w:szCs w:val="20"/>
        </w:rPr>
      </w:pPr>
      <w:r w:rsidDel="00000000" w:rsidR="00000000" w:rsidRPr="00000000">
        <w:rPr>
          <w:b w:val="1"/>
          <w:color w:val="000000"/>
          <w:sz w:val="20"/>
          <w:szCs w:val="20"/>
          <w:rtl w:val="0"/>
        </w:rPr>
        <w:t xml:space="preserve">ENFOQUES TRANSVERSALES:</w:t>
      </w:r>
    </w:p>
    <w:tbl>
      <w:tblPr>
        <w:tblStyle w:val="Table2"/>
        <w:tblW w:w="97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4"/>
        <w:gridCol w:w="1479"/>
        <w:gridCol w:w="3255"/>
        <w:gridCol w:w="3411"/>
        <w:tblGridChange w:id="0">
          <w:tblGrid>
            <w:gridCol w:w="1624"/>
            <w:gridCol w:w="1479"/>
            <w:gridCol w:w="3255"/>
            <w:gridCol w:w="3411"/>
          </w:tblGrid>
        </w:tblGridChange>
      </w:tblGrid>
      <w:tr>
        <w:trPr>
          <w:cantSplit w:val="0"/>
          <w:tblHeader w:val="0"/>
        </w:trPr>
        <w:tc>
          <w:tcPr>
            <w:shd w:fill="75c4ff" w:val="clear"/>
            <w:vAlign w:val="center"/>
          </w:tcPr>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ENFOQUES</w:t>
            </w:r>
          </w:p>
        </w:tc>
        <w:tc>
          <w:tcPr>
            <w:shd w:fill="75c4ff" w:val="clear"/>
            <w:vAlign w:val="center"/>
          </w:tcPr>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VALORES</w:t>
            </w:r>
          </w:p>
        </w:tc>
        <w:tc>
          <w:tcPr>
            <w:shd w:fill="75c4ff" w:val="clear"/>
            <w:vAlign w:val="cente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ACTITUDES</w:t>
            </w:r>
          </w:p>
        </w:tc>
        <w:tc>
          <w:tcPr>
            <w:shd w:fill="75c4ff" w:val="clear"/>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ACCIONES OBSERVABLES</w:t>
            </w:r>
          </w:p>
        </w:tc>
      </w:tr>
      <w:tr>
        <w:trPr>
          <w:cantSplit w:val="0"/>
          <w:trHeight w:val="515"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ENFOQUE AMBIENTAL</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Solidaridad</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Disposición a evaluar los impactos y costos ambientales de las acciones y actividades cotidianas.</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Docentes y estudiantes promueven la preservación de entornos saludables, a favor de la limpieza de los espacios educativos que comparten.</w:t>
            </w:r>
          </w:p>
        </w:tc>
      </w:tr>
    </w:tbl>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09" w:hanging="720"/>
        <w:rPr>
          <w:b w:val="1"/>
          <w:color w:val="000000"/>
          <w:sz w:val="20"/>
          <w:szCs w:val="20"/>
        </w:rPr>
      </w:pPr>
      <w:r w:rsidDel="00000000" w:rsidR="00000000" w:rsidRPr="00000000">
        <w:rPr>
          <w:b w:val="1"/>
          <w:color w:val="000000"/>
          <w:sz w:val="20"/>
          <w:szCs w:val="20"/>
          <w:rtl w:val="0"/>
        </w:rPr>
        <w:t xml:space="preserve">PROPÓSITO DE APRENDIZAJE:</w:t>
      </w:r>
    </w:p>
    <w:tbl>
      <w:tblPr>
        <w:tblStyle w:val="Table3"/>
        <w:tblW w:w="97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4"/>
        <w:gridCol w:w="5836"/>
        <w:gridCol w:w="2079"/>
        <w:tblGridChange w:id="0">
          <w:tblGrid>
            <w:gridCol w:w="1854"/>
            <w:gridCol w:w="5836"/>
            <w:gridCol w:w="2079"/>
          </w:tblGrid>
        </w:tblGridChange>
      </w:tblGrid>
      <w:tr>
        <w:trPr>
          <w:cantSplit w:val="0"/>
          <w:tblHeader w:val="0"/>
        </w:trPr>
        <w:tc>
          <w:tcPr>
            <w:shd w:fill="ffff5b" w:val="clear"/>
          </w:tcPr>
          <w:p w:rsidR="00000000" w:rsidDel="00000000" w:rsidP="00000000" w:rsidRDefault="00000000" w:rsidRPr="00000000" w14:paraId="0000001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MOMENTOS</w:t>
            </w:r>
          </w:p>
        </w:tc>
        <w:tc>
          <w:tcPr>
            <w:shd w:fill="ffff5b" w:val="clear"/>
          </w:tcPr>
          <w:p w:rsidR="00000000" w:rsidDel="00000000" w:rsidP="00000000" w:rsidRDefault="00000000" w:rsidRPr="00000000" w14:paraId="0000001E">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 POR SESIÓN – 3 horas</w:t>
            </w:r>
          </w:p>
        </w:tc>
        <w:tc>
          <w:tcPr>
            <w:shd w:fill="ffff5b" w:val="clear"/>
          </w:tcPr>
          <w:p w:rsidR="00000000" w:rsidDel="00000000" w:rsidP="00000000" w:rsidRDefault="00000000" w:rsidRPr="00000000" w14:paraId="0000001F">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EVIDENCIAS</w:t>
            </w:r>
          </w:p>
        </w:tc>
      </w:tr>
      <w:tr>
        <w:trPr>
          <w:cantSplit w:val="0"/>
          <w:tblHeader w:val="0"/>
        </w:trPr>
        <w:tc>
          <w:tcPr>
            <w:shd w:fill="auto" w:val="clear"/>
          </w:tcPr>
          <w:p w:rsidR="00000000" w:rsidDel="00000000" w:rsidP="00000000" w:rsidRDefault="00000000" w:rsidRPr="00000000" w14:paraId="0000002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INICIO</w:t>
            </w:r>
          </w:p>
        </w:tc>
        <w:tc>
          <w:tcPr>
            <w:shd w:fill="auto" w:val="clear"/>
          </w:tcPr>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docente plantea el propósito de la sesión de aprendizaje: “Hoy haremos uso de las progresiones aritméticas para trazarnos un plan de ahorro y sus predicciones a un plazo determinado.</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importante comprender las situaciones del contexto para poder representarlas mediante modelos.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docente propone organizar a los estudiantes para participar de en forma cooperativa y respetuosa.</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Pedimos a los estudiantes recordar las principales normas de convivencia para el trabajo virtual.</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presenta la situación: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hoy es 5 de mayo y mi prima Cristina tiene 3 soles en el chanchito: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¿cuántos soles tendría por lo menos el 29 de mayo si a partir de hoy su familia ahorrará un sol diario como mínimo?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¿Cuánto dinero llegará a ahorrar la familia de Cristina el 8, 17 y 24 de mayo?</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¿Qué fórmula matemática es la que nos permitirá conocer el dinero ahorrado por día?</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¿Cómo podemos responder a estas preguntas?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¿Qué conocimientos matemáticos nos ayudarán a resolver la situación significativa?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estudiantes participan dando a conocer sus ideas previas.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docente comparte con los estudiantes los criterios de evaluación.</w:t>
            </w:r>
          </w:p>
        </w:tc>
        <w:tc>
          <w:tcPr>
            <w:vMerge w:val="restart"/>
            <w:shd w:fill="auto" w:val="clear"/>
          </w:tcPr>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de ahorro.</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Ficha de trabajo </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Portafolio.</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Mantiene su entorno limpio y ordenado.</w:t>
            </w:r>
            <w:r w:rsidDel="00000000" w:rsidR="00000000" w:rsidRPr="00000000">
              <w:rPr>
                <w:rtl w:val="0"/>
              </w:rPr>
            </w:r>
          </w:p>
        </w:tc>
      </w:tr>
      <w:tr>
        <w:trPr>
          <w:cantSplit w:val="0"/>
          <w:trHeight w:val="1703" w:hRule="atLeast"/>
          <w:tblHeader w:val="0"/>
        </w:trPr>
        <w:tc>
          <w:tcPr>
            <w:shd w:fill="auto" w:val="clear"/>
          </w:tcPr>
          <w:p w:rsidR="00000000" w:rsidDel="00000000" w:rsidP="00000000" w:rsidRDefault="00000000" w:rsidRPr="00000000" w14:paraId="00000032">
            <w:pPr>
              <w:widowControl w:val="0"/>
              <w:ind w:right="113"/>
              <w:rPr>
                <w:sz w:val="20"/>
                <w:szCs w:val="20"/>
              </w:rPr>
            </w:pPr>
            <w:r w:rsidDel="00000000" w:rsidR="00000000" w:rsidRPr="00000000">
              <w:rPr>
                <w:sz w:val="20"/>
                <w:szCs w:val="20"/>
                <w:rtl w:val="0"/>
              </w:rPr>
              <w:t xml:space="preserve">DESARROLLO</w:t>
            </w:r>
          </w:p>
        </w:tc>
        <w:tc>
          <w:tcPr>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 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docente les entrega la ficha de trabajo a cada grupo para resolver la situación planteada haciendo uso de los recursos que estimen conveniente como tablas y gráficos que ayuden a establecer una regularidad y la regla de formación de la P.A.</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ahorro mensual de Cristina sigue un patrón que sería de gran utilidad para saber cuánto podría ahorrar en un tiempo dado.</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docente acompaña a los estudiantes en su comprensión por medio de ejemplos de situaciones que se pueden expresar por medio de progresiones aritméticas.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estudiantes brindan sus ejemplos y lo proponen a sus compañeros para resolver. A través del ejemplo se establece que este tema de los ahorros parte como una progresión y se trabaja con una razón constante.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docente pregunta. ¿hay una forma más rápida de calcular esta información sin necesidad de estar sumando la razón día con día?</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responder la segunda pregunta los estudiantes revisan sus anotaciones: Para este caso la fórmula matemática será: </w:t>
            </w:r>
          </w:p>
          <w:p w:rsidR="00000000" w:rsidDel="00000000" w:rsidP="00000000" w:rsidRDefault="00000000" w:rsidRPr="00000000" w14:paraId="00000039">
            <w:pPr>
              <w:ind w:left="1440" w:firstLine="720"/>
              <w:rPr>
                <w:sz w:val="28"/>
                <w:szCs w:val="28"/>
              </w:rPr>
            </w:pPr>
            <w:r w:rsidDel="00000000" w:rsidR="00000000" w:rsidRPr="00000000">
              <w:rPr>
                <w:sz w:val="28"/>
                <w:szCs w:val="28"/>
                <w:rtl w:val="0"/>
              </w:rPr>
              <w:t xml:space="preserve">a</w:t>
            </w:r>
            <w:r w:rsidDel="00000000" w:rsidR="00000000" w:rsidRPr="00000000">
              <w:rPr>
                <w:sz w:val="28"/>
                <w:szCs w:val="28"/>
                <w:vertAlign w:val="subscript"/>
                <w:rtl w:val="0"/>
              </w:rPr>
              <w:t xml:space="preserve">n</w:t>
            </w:r>
            <w:r w:rsidDel="00000000" w:rsidR="00000000" w:rsidRPr="00000000">
              <w:rPr>
                <w:sz w:val="28"/>
                <w:szCs w:val="28"/>
                <w:rtl w:val="0"/>
              </w:rPr>
              <w:t xml:space="preserve"> = a</w:t>
            </w:r>
            <w:r w:rsidDel="00000000" w:rsidR="00000000" w:rsidRPr="00000000">
              <w:rPr>
                <w:sz w:val="28"/>
                <w:szCs w:val="28"/>
                <w:vertAlign w:val="subscript"/>
                <w:rtl w:val="0"/>
              </w:rPr>
              <w:t xml:space="preserve">1</w:t>
            </w:r>
            <w:r w:rsidDel="00000000" w:rsidR="00000000" w:rsidRPr="00000000">
              <w:rPr>
                <w:sz w:val="28"/>
                <w:szCs w:val="28"/>
                <w:rtl w:val="0"/>
              </w:rPr>
              <w:t xml:space="preserve"> + ( n  –  1 ) . r</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¿Qué estrategias están utilizando para resolver la situación? ¿Cómo podemos responder a las preguntas?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También la docente les brinda una lectura sobre el ahorro donde cada equipo responda que es el ahorro, su importancia y para qué ahorrarían. ¿Cuál sería la razón de sus ahorros, la regularidad y la predicción de sus ahorros a un tiempo determinado?</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Cada equipo presenta sus respuestas por medio de la técnica de museo.</w:t>
            </w:r>
          </w:p>
        </w:tc>
        <w:tc>
          <w:tcPr>
            <w:vMerge w:val="continue"/>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3" w:hRule="atLeast"/>
          <w:tblHeader w:val="0"/>
        </w:trPr>
        <w:tc>
          <w:tcPr>
            <w:shd w:fill="auto" w:val="clear"/>
          </w:tcPr>
          <w:p w:rsidR="00000000" w:rsidDel="00000000" w:rsidP="00000000" w:rsidRDefault="00000000" w:rsidRPr="00000000" w14:paraId="0000003E">
            <w:pPr>
              <w:widowControl w:val="0"/>
              <w:ind w:right="113"/>
              <w:rPr>
                <w:sz w:val="20"/>
                <w:szCs w:val="20"/>
              </w:rPr>
            </w:pPr>
            <w:r w:rsidDel="00000000" w:rsidR="00000000" w:rsidRPr="00000000">
              <w:rPr>
                <w:sz w:val="20"/>
                <w:szCs w:val="20"/>
                <w:rtl w:val="0"/>
              </w:rPr>
              <w:t xml:space="preserve">CIERRE</w:t>
            </w:r>
          </w:p>
        </w:tc>
        <w:tc>
          <w:tcPr>
            <w:shd w:fill="auto" w:val="clear"/>
          </w:tcPr>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 w:right="113"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docente anota en su lista de cotejo la participación de los estudiantes y procede a cerrar con las ideas más importantes con la participación de los estudiantes.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11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¿Qué dificultades tuvimos para resolver la situación significativa? ¿Se podrá resolver de otra manera la situación significativa? ¿Se habrá logrado el propósito de la clase? ¿De qué manera? ¿Para qué nos servirá lo que hemos aprendido?</w:t>
            </w:r>
            <w:r w:rsidDel="00000000" w:rsidR="00000000" w:rsidRPr="00000000">
              <w:rPr>
                <w:rtl w:val="0"/>
              </w:rPr>
            </w:r>
          </w:p>
        </w:tc>
        <w:tc>
          <w:tcPr>
            <w:vMerge w:val="continue"/>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ind w:left="709" w:hanging="720"/>
        <w:rPr>
          <w:b w:val="1"/>
          <w:color w:val="000000"/>
          <w:sz w:val="20"/>
          <w:szCs w:val="20"/>
        </w:rPr>
      </w:pPr>
      <w:r w:rsidDel="00000000" w:rsidR="00000000" w:rsidRPr="00000000">
        <w:rPr>
          <w:b w:val="1"/>
          <w:color w:val="000000"/>
          <w:sz w:val="20"/>
          <w:szCs w:val="20"/>
          <w:rtl w:val="0"/>
        </w:rPr>
        <w:t xml:space="preserve">INSTRUMENTO DE EVALUACIÓN</w:t>
      </w:r>
    </w:p>
    <w:p w:rsidR="00000000" w:rsidDel="00000000" w:rsidP="00000000" w:rsidRDefault="00000000" w:rsidRPr="00000000" w14:paraId="00000043">
      <w:pPr>
        <w:ind w:left="-11" w:firstLine="0"/>
        <w:rPr/>
      </w:pPr>
      <w:r w:rsidDel="00000000" w:rsidR="00000000" w:rsidRPr="00000000">
        <w:rPr>
          <w:rtl w:val="0"/>
        </w:rPr>
        <w:t xml:space="preserve">Lista de cotejo</w:t>
      </w:r>
    </w:p>
    <w:p w:rsidR="00000000" w:rsidDel="00000000" w:rsidP="00000000" w:rsidRDefault="00000000" w:rsidRPr="00000000" w14:paraId="00000044">
      <w:pPr>
        <w:ind w:left="-11" w:firstLine="0"/>
        <w:rPr/>
      </w:pPr>
      <w:r w:rsidDel="00000000" w:rsidR="00000000" w:rsidRPr="00000000">
        <w:rPr>
          <w:rtl w:val="0"/>
        </w:rPr>
      </w:r>
    </w:p>
    <w:p w:rsidR="00000000" w:rsidDel="00000000" w:rsidP="00000000" w:rsidRDefault="00000000" w:rsidRPr="00000000" w14:paraId="00000045">
      <w:pPr>
        <w:ind w:left="-11"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SMP, agosto 2023</w:t>
        <w:tab/>
        <w:tab/>
        <w:tab/>
        <w:tab/>
        <w:tab/>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4051300</wp:posOffset>
                </wp:positionH>
                <wp:positionV relativeFrom="paragraph">
                  <wp:posOffset>215900</wp:posOffset>
                </wp:positionV>
                <wp:extent cx="0" cy="12700"/>
                <wp:effectExtent b="0" l="0" r="0" t="0"/>
                <wp:wrapNone/>
                <wp:docPr id="659342573" name=""/>
                <a:graphic>
                  <a:graphicData uri="http://schemas.microsoft.com/office/word/2010/wordprocessingShape">
                    <wps:wsp>
                      <wps:cNvCnPr/>
                      <wps:spPr>
                        <a:xfrm>
                          <a:off x="4536375" y="3780000"/>
                          <a:ext cx="16192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215900</wp:posOffset>
                </wp:positionV>
                <wp:extent cx="0" cy="12700"/>
                <wp:effectExtent b="0" l="0" r="0" t="0"/>
                <wp:wrapNone/>
                <wp:docPr id="65934257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7">
      <w:pPr>
        <w:ind w:left="6480" w:firstLine="720"/>
        <w:rPr/>
      </w:pPr>
      <w:r w:rsidDel="00000000" w:rsidR="00000000" w:rsidRPr="00000000">
        <w:rPr>
          <w:rtl w:val="0"/>
        </w:rPr>
        <w:t xml:space="preserve">Evelyn Seclén</w:t>
      </w:r>
    </w:p>
    <w:p w:rsidR="00000000" w:rsidDel="00000000" w:rsidP="00000000" w:rsidRDefault="00000000" w:rsidRPr="00000000" w14:paraId="00000048">
      <w:pPr>
        <w:rPr>
          <w:rFonts w:ascii="Barlow" w:cs="Barlow" w:eastAsia="Barlow" w:hAnsi="Barlow"/>
          <w:sz w:val="20"/>
          <w:szCs w:val="20"/>
        </w:rPr>
      </w:pPr>
      <w:r w:rsidDel="00000000" w:rsidR="00000000" w:rsidRPr="00000000">
        <w:rPr>
          <w:rtl w:val="0"/>
        </w:rPr>
      </w:r>
    </w:p>
    <w:sectPr>
      <w:headerReference r:id="rId8" w:type="default"/>
      <w:pgSz w:h="16840" w:w="11900" w:orient="portrait"/>
      <w:pgMar w:bottom="845" w:top="1304" w:left="1134" w:right="98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Barlow">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Sitka Subheading"/>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2694066</wp:posOffset>
          </wp:positionH>
          <wp:positionV relativeFrom="paragraph">
            <wp:posOffset>-183018</wp:posOffset>
          </wp:positionV>
          <wp:extent cx="799659" cy="345089"/>
          <wp:effectExtent b="0" l="0" r="0" t="0"/>
          <wp:wrapNone/>
          <wp:docPr descr="Un letrero de color negro&#10;&#10;Descripción generada automáticamente con confianza baja" id="659342574" name="image3.png"/>
          <a:graphic>
            <a:graphicData uri="http://schemas.openxmlformats.org/drawingml/2006/picture">
              <pic:pic>
                <pic:nvPicPr>
                  <pic:cNvPr descr="Un letrero de color negro&#10;&#10;Descripción generada automáticamente con confianza baja" id="0" name="image3.png"/>
                  <pic:cNvPicPr preferRelativeResize="0"/>
                </pic:nvPicPr>
                <pic:blipFill>
                  <a:blip r:embed="rId1"/>
                  <a:srcRect b="0" l="0" r="0" t="0"/>
                  <a:stretch>
                    <a:fillRect/>
                  </a:stretch>
                </pic:blipFill>
                <pic:spPr>
                  <a:xfrm>
                    <a:off x="0" y="0"/>
                    <a:ext cx="799659" cy="34508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-660516</wp:posOffset>
          </wp:positionH>
          <wp:positionV relativeFrom="paragraph">
            <wp:posOffset>-221045</wp:posOffset>
          </wp:positionV>
          <wp:extent cx="609600" cy="444878"/>
          <wp:effectExtent b="0" l="0" r="0" t="0"/>
          <wp:wrapNone/>
          <wp:docPr id="65934257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9600" cy="44487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-36862</wp:posOffset>
          </wp:positionH>
          <wp:positionV relativeFrom="paragraph">
            <wp:posOffset>-165734</wp:posOffset>
          </wp:positionV>
          <wp:extent cx="1905000" cy="284480"/>
          <wp:effectExtent b="0" l="0" r="0" t="0"/>
          <wp:wrapSquare wrapText="bothSides" distB="0" distT="0" distL="114300" distR="114300"/>
          <wp:docPr descr="Texto&#10;&#10;Descripción generada automáticamente con confianza media" id="659342575" name="image2.png"/>
          <a:graphic>
            <a:graphicData uri="http://schemas.openxmlformats.org/drawingml/2006/picture">
              <pic:pic>
                <pic:nvPicPr>
                  <pic:cNvPr descr="Texto&#10;&#10;Descripción generada automáticamente con confianza media" id="0" name="image2.png"/>
                  <pic:cNvPicPr preferRelativeResize="0"/>
                </pic:nvPicPr>
                <pic:blipFill>
                  <a:blip r:embed="rId3"/>
                  <a:srcRect b="0" l="0" r="0" t="0"/>
                  <a:stretch>
                    <a:fillRect/>
                  </a:stretch>
                </pic:blipFill>
                <pic:spPr>
                  <a:xfrm>
                    <a:off x="0" y="0"/>
                    <a:ext cx="1905000" cy="284480"/>
                  </a:xfrm>
                  <a:prstGeom prst="rect"/>
                  <a:ln/>
                </pic:spPr>
              </pic:pic>
            </a:graphicData>
          </a:graphic>
        </wp:anchor>
      </w:drawing>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color w:val="09328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42" w:hanging="360"/>
      </w:pPr>
      <w:rPr>
        <w:rFonts w:ascii="Sitka Subheading" w:cs="Sitka Subheading" w:eastAsia="Sitka Subheading" w:hAnsi="Sitka Subheading"/>
      </w:rPr>
    </w:lvl>
    <w:lvl w:ilvl="1">
      <w:start w:val="1"/>
      <w:numFmt w:val="bullet"/>
      <w:lvlText w:val="o"/>
      <w:lvlJc w:val="left"/>
      <w:pPr>
        <w:ind w:left="1462" w:hanging="360"/>
      </w:pPr>
      <w:rPr>
        <w:rFonts w:ascii="Courier New" w:cs="Courier New" w:eastAsia="Courier New" w:hAnsi="Courier New"/>
      </w:rPr>
    </w:lvl>
    <w:lvl w:ilvl="2">
      <w:start w:val="1"/>
      <w:numFmt w:val="bullet"/>
      <w:lvlText w:val="▪"/>
      <w:lvlJc w:val="left"/>
      <w:pPr>
        <w:ind w:left="2182" w:hanging="360"/>
      </w:pPr>
      <w:rPr>
        <w:rFonts w:ascii="Noto Sans Symbols" w:cs="Noto Sans Symbols" w:eastAsia="Noto Sans Symbols" w:hAnsi="Noto Sans Symbols"/>
      </w:rPr>
    </w:lvl>
    <w:lvl w:ilvl="3">
      <w:start w:val="1"/>
      <w:numFmt w:val="bullet"/>
      <w:lvlText w:val="●"/>
      <w:lvlJc w:val="left"/>
      <w:pPr>
        <w:ind w:left="2902" w:hanging="360"/>
      </w:pPr>
      <w:rPr>
        <w:rFonts w:ascii="Noto Sans Symbols" w:cs="Noto Sans Symbols" w:eastAsia="Noto Sans Symbols" w:hAnsi="Noto Sans Symbols"/>
      </w:rPr>
    </w:lvl>
    <w:lvl w:ilvl="4">
      <w:start w:val="1"/>
      <w:numFmt w:val="bullet"/>
      <w:lvlText w:val="o"/>
      <w:lvlJc w:val="left"/>
      <w:pPr>
        <w:ind w:left="3622" w:hanging="360"/>
      </w:pPr>
      <w:rPr>
        <w:rFonts w:ascii="Courier New" w:cs="Courier New" w:eastAsia="Courier New" w:hAnsi="Courier New"/>
      </w:rPr>
    </w:lvl>
    <w:lvl w:ilvl="5">
      <w:start w:val="1"/>
      <w:numFmt w:val="bullet"/>
      <w:lvlText w:val="▪"/>
      <w:lvlJc w:val="left"/>
      <w:pPr>
        <w:ind w:left="4342" w:hanging="360"/>
      </w:pPr>
      <w:rPr>
        <w:rFonts w:ascii="Noto Sans Symbols" w:cs="Noto Sans Symbols" w:eastAsia="Noto Sans Symbols" w:hAnsi="Noto Sans Symbols"/>
      </w:rPr>
    </w:lvl>
    <w:lvl w:ilvl="6">
      <w:start w:val="1"/>
      <w:numFmt w:val="bullet"/>
      <w:lvlText w:val="●"/>
      <w:lvlJc w:val="left"/>
      <w:pPr>
        <w:ind w:left="5062" w:hanging="360"/>
      </w:pPr>
      <w:rPr>
        <w:rFonts w:ascii="Noto Sans Symbols" w:cs="Noto Sans Symbols" w:eastAsia="Noto Sans Symbols" w:hAnsi="Noto Sans Symbols"/>
      </w:rPr>
    </w:lvl>
    <w:lvl w:ilvl="7">
      <w:start w:val="1"/>
      <w:numFmt w:val="bullet"/>
      <w:lvlText w:val="o"/>
      <w:lvlJc w:val="left"/>
      <w:pPr>
        <w:ind w:left="5782" w:hanging="360"/>
      </w:pPr>
      <w:rPr>
        <w:rFonts w:ascii="Courier New" w:cs="Courier New" w:eastAsia="Courier New" w:hAnsi="Courier New"/>
      </w:rPr>
    </w:lvl>
    <w:lvl w:ilvl="8">
      <w:start w:val="1"/>
      <w:numFmt w:val="bullet"/>
      <w:lvlText w:val="▪"/>
      <w:lvlJc w:val="left"/>
      <w:pPr>
        <w:ind w:left="6502"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45C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ULO" w:customStyle="1">
    <w:name w:val="SUBTITULO"/>
    <w:basedOn w:val="Normal"/>
    <w:uiPriority w:val="99"/>
    <w:rsid w:val="00D175AB"/>
    <w:pPr>
      <w:autoSpaceDE w:val="0"/>
      <w:autoSpaceDN w:val="0"/>
      <w:adjustRightInd w:val="0"/>
      <w:spacing w:after="57" w:before="170" w:line="230" w:lineRule="atLeast"/>
      <w:textAlignment w:val="center"/>
    </w:pPr>
    <w:rPr>
      <w:rFonts w:ascii="Gotham Rounded Bold" w:cs="Gotham Rounded Bold" w:hAnsi="Gotham Rounded Bold"/>
      <w:b w:val="1"/>
      <w:bCs w:val="1"/>
      <w:caps w:val="1"/>
      <w:color w:val="000000"/>
      <w:w w:val="90"/>
      <w:sz w:val="22"/>
      <w:szCs w:val="22"/>
      <w:lang w:val="es-ES_tradnl"/>
    </w:rPr>
  </w:style>
  <w:style w:type="table" w:styleId="Tablaconcuadrcula">
    <w:name w:val="Table Grid"/>
    <w:basedOn w:val="Tablanormal"/>
    <w:uiPriority w:val="39"/>
    <w:rsid w:val="00D175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9718D"/>
    <w:pPr>
      <w:tabs>
        <w:tab w:val="center" w:pos="4419"/>
        <w:tab w:val="right" w:pos="8838"/>
      </w:tabs>
    </w:pPr>
  </w:style>
  <w:style w:type="character" w:styleId="EncabezadoCar" w:customStyle="1">
    <w:name w:val="Encabezado Car"/>
    <w:basedOn w:val="Fuentedeprrafopredeter"/>
    <w:link w:val="Encabezado"/>
    <w:uiPriority w:val="99"/>
    <w:rsid w:val="0099718D"/>
  </w:style>
  <w:style w:type="paragraph" w:styleId="Piedepgina">
    <w:name w:val="footer"/>
    <w:basedOn w:val="Normal"/>
    <w:link w:val="PiedepginaCar"/>
    <w:uiPriority w:val="99"/>
    <w:unhideWhenUsed w:val="1"/>
    <w:rsid w:val="0099718D"/>
    <w:pPr>
      <w:tabs>
        <w:tab w:val="center" w:pos="4419"/>
        <w:tab w:val="right" w:pos="8838"/>
      </w:tabs>
    </w:pPr>
  </w:style>
  <w:style w:type="character" w:styleId="PiedepginaCar" w:customStyle="1">
    <w:name w:val="Pie de página Car"/>
    <w:basedOn w:val="Fuentedeprrafopredeter"/>
    <w:link w:val="Piedepgina"/>
    <w:uiPriority w:val="99"/>
    <w:rsid w:val="0099718D"/>
  </w:style>
  <w:style w:type="paragraph" w:styleId="Prrafodelista">
    <w:name w:val="List Paragraph"/>
    <w:aliases w:val="Bulleted List,Fundamentacion,Lista vistosa - Énfasis 11,Párrafo de lista2,Párrafo de lista1"/>
    <w:basedOn w:val="Normal"/>
    <w:link w:val="PrrafodelistaCar"/>
    <w:uiPriority w:val="34"/>
    <w:qFormat w:val="1"/>
    <w:rsid w:val="006F3D50"/>
    <w:pPr>
      <w:ind w:left="720"/>
      <w:contextualSpacing w:val="1"/>
    </w:pPr>
  </w:style>
  <w:style w:type="character" w:styleId="Refdecomentario">
    <w:name w:val="annotation reference"/>
    <w:basedOn w:val="Fuentedeprrafopredeter"/>
    <w:uiPriority w:val="99"/>
    <w:semiHidden w:val="1"/>
    <w:unhideWhenUsed w:val="1"/>
    <w:rsid w:val="00A74525"/>
    <w:rPr>
      <w:sz w:val="16"/>
      <w:szCs w:val="16"/>
    </w:rPr>
  </w:style>
  <w:style w:type="paragraph" w:styleId="Textocomentario">
    <w:name w:val="annotation text"/>
    <w:basedOn w:val="Normal"/>
    <w:link w:val="TextocomentarioCar"/>
    <w:uiPriority w:val="99"/>
    <w:semiHidden w:val="1"/>
    <w:unhideWhenUsed w:val="1"/>
    <w:rsid w:val="00A74525"/>
    <w:rPr>
      <w:sz w:val="20"/>
      <w:szCs w:val="20"/>
    </w:rPr>
  </w:style>
  <w:style w:type="character" w:styleId="TextocomentarioCar" w:customStyle="1">
    <w:name w:val="Texto comentario Car"/>
    <w:basedOn w:val="Fuentedeprrafopredeter"/>
    <w:link w:val="Textocomentario"/>
    <w:uiPriority w:val="99"/>
    <w:semiHidden w:val="1"/>
    <w:rsid w:val="00A7452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74525"/>
    <w:rPr>
      <w:b w:val="1"/>
      <w:bCs w:val="1"/>
    </w:rPr>
  </w:style>
  <w:style w:type="character" w:styleId="AsuntodelcomentarioCar" w:customStyle="1">
    <w:name w:val="Asunto del comentario Car"/>
    <w:basedOn w:val="TextocomentarioCar"/>
    <w:link w:val="Asuntodelcomentario"/>
    <w:uiPriority w:val="99"/>
    <w:semiHidden w:val="1"/>
    <w:rsid w:val="00A74525"/>
    <w:rPr>
      <w:b w:val="1"/>
      <w:bCs w:val="1"/>
      <w:sz w:val="20"/>
      <w:szCs w:val="20"/>
    </w:rPr>
  </w:style>
  <w:style w:type="character" w:styleId="Mencinsinresolver">
    <w:name w:val="Unresolved Mention"/>
    <w:basedOn w:val="Fuentedeprrafopredeter"/>
    <w:uiPriority w:val="99"/>
    <w:unhideWhenUsed w:val="1"/>
    <w:rsid w:val="00B45C95"/>
    <w:rPr>
      <w:color w:val="605e5c"/>
      <w:shd w:color="auto" w:fill="e1dfdd" w:val="clear"/>
    </w:rPr>
  </w:style>
  <w:style w:type="character" w:styleId="Mencionar">
    <w:name w:val="Mention"/>
    <w:basedOn w:val="Fuentedeprrafopredeter"/>
    <w:uiPriority w:val="99"/>
    <w:unhideWhenUsed w:val="1"/>
    <w:rsid w:val="00B45C95"/>
    <w:rPr>
      <w:color w:val="2b579a"/>
      <w:shd w:color="auto" w:fill="e1dfdd" w:val="clear"/>
    </w:rPr>
  </w:style>
  <w:style w:type="character" w:styleId="PrrafodelistaCar" w:customStyle="1">
    <w:name w:val="Párrafo de lista Car"/>
    <w:aliases w:val="Bulleted List Car,Fundamentacion Car,Lista vistosa - Énfasis 11 Car,Párrafo de lista2 Car,Párrafo de lista1 Car"/>
    <w:link w:val="Prrafodelista"/>
    <w:uiPriority w:val="34"/>
    <w:locked w:val="1"/>
    <w:rsid w:val="000A6D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Barlow-boldItalic.ttf"/><Relationship Id="rId9" Type="http://schemas.openxmlformats.org/officeDocument/2006/relationships/font" Target="fonts/Barlow-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Barlow-regular.ttf"/><Relationship Id="rId8" Type="http://schemas.openxmlformats.org/officeDocument/2006/relationships/font" Target="fonts/Barlow-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zpf4AbUreB2d8Gzq6aBMBNg==">CgMxLjA4AHIhMTZwLXJWY3hjaHNLSzRJUnRJUXJnRmU2eF9TRDhiTHhl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2024-07-19T06:12:00Z</dcterms:created>
  <dc:creator>Yerly Torres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MediaServiceImageTags</vt:lpwstr>
  </property>
</Properties>
</file>