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  <w:sz w:val="44"/>
          <w:szCs w:val="44"/>
        </w:rPr>
      </w:pPr>
      <w:bookmarkStart w:colFirst="0" w:colLast="0" w:name="_1ikbdwsq9qjp" w:id="0"/>
      <w:bookmarkEnd w:id="0"/>
      <w:r w:rsidDel="00000000" w:rsidR="00000000" w:rsidRPr="00000000">
        <w:rPr>
          <w:rFonts w:ascii="Roboto" w:cs="Roboto" w:eastAsia="Roboto" w:hAnsi="Roboto"/>
          <w:b w:val="1"/>
          <w:sz w:val="44"/>
          <w:szCs w:val="44"/>
          <w:rtl w:val="0"/>
        </w:rPr>
        <w:t xml:space="preserve">Pagando Impuestos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44"/>
          <w:szCs w:val="44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b w:val="1"/>
          <w:sz w:val="44"/>
          <w:szCs w:val="44"/>
          <w:rtl w:val="0"/>
        </w:rPr>
        <w:t xml:space="preserve">Impuesto General a la Venta (IGV))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</w:rPr>
      </w:pPr>
      <w:bookmarkStart w:colFirst="0" w:colLast="0" w:name="_61cgwf1e9ap6" w:id="1"/>
      <w:bookmarkEnd w:id="1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Datos Generales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Duración: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90 minutos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Grado: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Segundo grado de secundaria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Área: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Matemáticas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Competencia: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Resuelve problemas de cantidad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</w:rPr>
      </w:pPr>
      <w:bookmarkStart w:colFirst="0" w:colLast="0" w:name="_shw41gcx99l0" w:id="2"/>
      <w:bookmarkEnd w:id="2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Objetivos de Aprendizaje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Comprender el concepto de IGV y su importancia en la economía nacional.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Calcular el IGV en diferentes situaciones y expresarlo numéricamente.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Aplicar estrategias de estimación y cálculo para determinar cantidades porcentuales.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</w:rPr>
      </w:pPr>
      <w:bookmarkStart w:colFirst="0" w:colLast="0" w:name="_tj5mqkzdrj65" w:id="3"/>
      <w:bookmarkEnd w:id="3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Estructura de la Clase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tnptr1hpwrwj" w:id="4"/>
      <w:bookmarkEnd w:id="4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1. Introducción (15 minutos)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Presentación del Tema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Introducir el concepto de IGV: qué es, su función y su impacto en la economía.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Infografía: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Mostrar una infografía que explique:</w:t>
      </w:r>
    </w:p>
    <w:p w:rsidR="00000000" w:rsidDel="00000000" w:rsidP="00000000" w:rsidRDefault="00000000" w:rsidRPr="00000000" w14:paraId="00000014">
      <w:pPr>
        <w:numPr>
          <w:ilvl w:val="2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Definición del IGV.</w:t>
      </w:r>
    </w:p>
    <w:p w:rsidR="00000000" w:rsidDel="00000000" w:rsidP="00000000" w:rsidRDefault="00000000" w:rsidRPr="00000000" w14:paraId="00000015">
      <w:pPr>
        <w:numPr>
          <w:ilvl w:val="2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Tasa actual (18%).</w:t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Destino de los recursos generados por el IGV.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64t3z0o9bc30" w:id="5"/>
      <w:bookmarkEnd w:id="5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2. Actividad de Comprensión (20 minutos)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Discusión en Grupo: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Formar grupos pequeños.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Discutir preguntas como: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¿Por qué pagar impuestos?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¿Por qué el Estado recauda el IGV?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  <w:u w:val="none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¿Quién recauda los impuestos en el Estado?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¿Cómo afecta el IGV a los precios de los productos?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fjwdfr911fln" w:id="6"/>
      <w:bookmarkEnd w:id="6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3. Ejemplos Prácticos (20 minutos)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Cálculo del IGV:</w:t>
      </w:r>
    </w:p>
    <w:p w:rsidR="00000000" w:rsidDel="00000000" w:rsidP="00000000" w:rsidRDefault="00000000" w:rsidRPr="00000000" w14:paraId="00000021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Presentar ejemplos numéricos:</w:t>
      </w:r>
    </w:p>
    <w:p w:rsidR="00000000" w:rsidDel="00000000" w:rsidP="00000000" w:rsidRDefault="00000000" w:rsidRPr="00000000" w14:paraId="00000022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Producto: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Si 2 docenas de polos deportivos que compraron los padres de familia del 2do les costó S/. 240, ¿cuánto pagaron por IGV?</w:t>
      </w:r>
    </w:p>
    <w:p w:rsidR="00000000" w:rsidDel="00000000" w:rsidP="00000000" w:rsidRDefault="00000000" w:rsidRPr="00000000" w14:paraId="00000023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Precio Total: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Calcular el precio total incluyendo el IGV.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Servicio:</w:t>
      </w: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 Si un servicio cuesta S/.100, ¿cuánto es el IGV?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Ejercicio en Clase: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Los estudiantes resuelven ejercicios similares en grupos.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vbyri6z0j1dr" w:id="7"/>
      <w:bookmarkEnd w:id="7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4. Actividad Aplicada (30 minutos)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Caso Práctico: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Dividir a los estudiantes en grupos y darles un caso práctico:</w:t>
      </w:r>
    </w:p>
    <w:p w:rsidR="00000000" w:rsidDel="00000000" w:rsidP="00000000" w:rsidRDefault="00000000" w:rsidRPr="00000000" w14:paraId="0000002A">
      <w:pPr>
        <w:numPr>
          <w:ilvl w:val="2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216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Un negocio vende camisetas a S/.50. ¿Cuánto pagará un cliente por 4 camisetas incluyendo el IGV?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Ejemplo de Caso: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Un libro cuesta S/.150. ¿Cuál es el IGV y el precio total?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  <w:color w:val="000000"/>
          <w:sz w:val="24"/>
          <w:szCs w:val="24"/>
        </w:rPr>
      </w:pPr>
      <w:bookmarkStart w:colFirst="0" w:colLast="0" w:name="_pysda5d032d" w:id="8"/>
      <w:bookmarkEnd w:id="8"/>
      <w:r w:rsidDel="00000000" w:rsidR="00000000" w:rsidRPr="00000000">
        <w:rPr>
          <w:rFonts w:ascii="Roboto" w:cs="Roboto" w:eastAsia="Roboto" w:hAnsi="Roboto"/>
          <w:b w:val="1"/>
          <w:color w:val="000000"/>
          <w:sz w:val="24"/>
          <w:szCs w:val="24"/>
          <w:rtl w:val="0"/>
        </w:rPr>
        <w:t xml:space="preserve">5. Cierre (5 minutos)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b w:val="1"/>
          <w:sz w:val="25"/>
          <w:szCs w:val="25"/>
          <w:rtl w:val="0"/>
        </w:rPr>
        <w:t xml:space="preserve">Reflexión Final: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Resumir la importancia del IGV en la economía.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44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Preguntar a los estudiantes cómo se sintieron al calcular el IGV.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</w:rPr>
      </w:pPr>
      <w:bookmarkStart w:colFirst="0" w:colLast="0" w:name="_tzmr53hd6w60" w:id="9"/>
      <w:bookmarkEnd w:id="9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Criterios de Evaluación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1965"/>
        <w:gridCol w:w="1905"/>
        <w:gridCol w:w="2370"/>
        <w:tblGridChange w:id="0">
          <w:tblGrid>
            <w:gridCol w:w="2640"/>
            <w:gridCol w:w="1965"/>
            <w:gridCol w:w="1905"/>
            <w:gridCol w:w="23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5"/>
                <w:szCs w:val="25"/>
                <w:rtl w:val="0"/>
              </w:rPr>
              <w:t xml:space="preserve">Habilidad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5"/>
                <w:szCs w:val="25"/>
                <w:rtl w:val="0"/>
              </w:rPr>
              <w:t xml:space="preserve">Contenido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5"/>
                <w:szCs w:val="25"/>
                <w:rtl w:val="0"/>
              </w:rPr>
              <w:t xml:space="preserve">Condición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5"/>
                <w:szCs w:val="25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Establece relaciones entre datos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Cálculo del IGV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Aplicando ejemplos prácticos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Respuestas correctas en ejercicios propuestos</w:t>
            </w:r>
          </w:p>
        </w:tc>
      </w:tr>
      <w:tr>
        <w:trPr>
          <w:cantSplit w:val="0"/>
          <w:trHeight w:val="17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Expresa con diversas representaciones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Porcentajes de impuestos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Utilizando infografía y ejemplos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Presentación de resultados en formato numérico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Selecciona y emplea estrategias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Propiedades de números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Realizando cálculos en grupo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Roboto" w:cs="Roboto" w:eastAsia="Roboto" w:hAnsi="Roboto"/>
                <w:sz w:val="25"/>
                <w:szCs w:val="25"/>
              </w:rPr>
            </w:pPr>
            <w:r w:rsidDel="00000000" w:rsidR="00000000" w:rsidRPr="00000000">
              <w:rPr>
                <w:rFonts w:ascii="Roboto" w:cs="Roboto" w:eastAsia="Roboto" w:hAnsi="Roboto"/>
                <w:sz w:val="25"/>
                <w:szCs w:val="25"/>
                <w:rtl w:val="0"/>
              </w:rPr>
              <w:t xml:space="preserve">Informe grupal sobre el caso práctico</w:t>
            </w:r>
          </w:p>
        </w:tc>
      </w:tr>
    </w:tbl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before="0" w:lineRule="auto"/>
        <w:rPr>
          <w:rFonts w:ascii="Roboto" w:cs="Roboto" w:eastAsia="Roboto" w:hAnsi="Roboto"/>
          <w:b w:val="1"/>
        </w:rPr>
      </w:pPr>
      <w:bookmarkStart w:colFirst="0" w:colLast="0" w:name="_g93g9bgt4w2j" w:id="10"/>
      <w:bookmarkEnd w:id="10"/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Recursos Necesarios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Pizarrón y marcadores.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Infografía sobre el IGV.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Hojas de ejercicios con casos prácticos.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ind w:left="720" w:hanging="360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Calculadoras.</w:t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rPr>
          <w:rFonts w:ascii="Roboto" w:cs="Roboto" w:eastAsia="Roboto" w:hAnsi="Roboto"/>
          <w:sz w:val="25"/>
          <w:szCs w:val="25"/>
        </w:rPr>
      </w:pPr>
      <w:r w:rsidDel="00000000" w:rsidR="00000000" w:rsidRPr="00000000">
        <w:rPr>
          <w:rFonts w:ascii="Roboto" w:cs="Roboto" w:eastAsia="Roboto" w:hAnsi="Roboto"/>
          <w:sz w:val="25"/>
          <w:szCs w:val="25"/>
          <w:rtl w:val="0"/>
        </w:rPr>
        <w:t xml:space="preserve">Esta sesión busca integrar el aprendizaje matemático con la educación financiera, fomentando la comprensión y aplicación práctica en la vida diaria de los estudiantes.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7f7f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